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1E10" w14:textId="7483CB3D" w:rsidR="006D65EC" w:rsidRPr="005B5D9E" w:rsidRDefault="00AF2A63">
      <w:pPr>
        <w:pStyle w:val="Title"/>
      </w:pPr>
      <w:r w:rsidRPr="00AF2A63">
        <w:t>Sociodemographic Data Collection and Use Policy</w:t>
      </w:r>
    </w:p>
    <w:p w14:paraId="0F70092F" w14:textId="77777777" w:rsidR="006D65EC" w:rsidRPr="005B5D9E" w:rsidRDefault="006966A5" w:rsidP="005B5D9E">
      <w:pPr>
        <w:pStyle w:val="BodyText"/>
        <w:rPr>
          <w:sz w:val="11"/>
        </w:rPr>
      </w:pPr>
      <w:r>
        <w:pict w14:anchorId="61388DF5">
          <v:rect id="docshape2" o:spid="_x0000_s2051" alt="" style="position:absolute;left:0;text-align:left;margin-left:1in;margin-top:7.95pt;width:468pt;height:2.3pt;z-index:-15728640;mso-wrap-edited:f;mso-width-percent:0;mso-height-percent:0;mso-wrap-distance-left:0;mso-wrap-distance-right:0;mso-position-horizontal-relative:page;mso-width-percent:0;mso-height-percent:0" fillcolor="black" stroked="f">
            <w10:wrap type="topAndBottom" anchorx="page"/>
          </v:rect>
        </w:pict>
      </w:r>
    </w:p>
    <w:p w14:paraId="581CFA7C" w14:textId="49E05851" w:rsidR="006D65EC" w:rsidRPr="005B5D9E" w:rsidRDefault="00BE0218" w:rsidP="00FF2B25">
      <w:pPr>
        <w:pStyle w:val="BodyText"/>
        <w:spacing w:before="240"/>
      </w:pPr>
      <w:r w:rsidRPr="005B5D9E">
        <w:t>8-</w:t>
      </w:r>
      <w:r w:rsidR="00AF2A63">
        <w:t>23</w:t>
      </w:r>
      <w:r w:rsidRPr="005B5D9E">
        <w:t>0</w:t>
      </w:r>
    </w:p>
    <w:p w14:paraId="7A205D48" w14:textId="03E65129" w:rsidR="005B5D9E" w:rsidRPr="005B5D9E" w:rsidRDefault="006966A5" w:rsidP="005B5D9E">
      <w:pPr>
        <w:pStyle w:val="BodyText"/>
        <w:rPr>
          <w:sz w:val="14"/>
        </w:rPr>
      </w:pPr>
      <w:r>
        <w:pict w14:anchorId="22D71512">
          <v:rect id="docshape3" o:spid="_x0000_s2050" alt="" style="position:absolute;left:0;text-align:left;margin-left:1in;margin-top:9.45pt;width:468pt;height:.7pt;z-index:-15728128;mso-wrap-edited:f;mso-width-percent:0;mso-height-percent:0;mso-wrap-distance-left:0;mso-wrap-distance-right:0;mso-position-horizontal-relative:page;mso-width-percent:0;mso-height-percent:0" fillcolor="black" stroked="f">
            <w10:wrap type="topAndBottom" anchorx="page"/>
          </v:rect>
        </w:pict>
      </w:r>
    </w:p>
    <w:tbl>
      <w:tblPr>
        <w:tblStyle w:val="TableGrid"/>
        <w:tblW w:w="5000" w:type="pct"/>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407"/>
      </w:tblGrid>
      <w:tr w:rsidR="005B5D9E" w:rsidRPr="005B5D9E" w14:paraId="3357B946" w14:textId="77777777" w:rsidTr="005B5D9E">
        <w:tc>
          <w:tcPr>
            <w:tcW w:w="2234" w:type="dxa"/>
            <w:tcMar>
              <w:top w:w="57" w:type="dxa"/>
              <w:bottom w:w="57" w:type="dxa"/>
            </w:tcMar>
          </w:tcPr>
          <w:p w14:paraId="249ECC1E" w14:textId="5F81B15D" w:rsidR="005B5D9E" w:rsidRPr="005B5D9E" w:rsidRDefault="005B5D9E" w:rsidP="005B5D9E">
            <w:pPr>
              <w:pStyle w:val="BodyText"/>
              <w:ind w:left="0"/>
            </w:pPr>
            <w:r w:rsidRPr="005B5D9E">
              <w:rPr>
                <w:b/>
              </w:rPr>
              <w:t>Section:</w:t>
            </w:r>
          </w:p>
        </w:tc>
        <w:tc>
          <w:tcPr>
            <w:tcW w:w="8020" w:type="dxa"/>
            <w:tcMar>
              <w:top w:w="57" w:type="dxa"/>
              <w:bottom w:w="57" w:type="dxa"/>
            </w:tcMar>
          </w:tcPr>
          <w:p w14:paraId="7B096AEB" w14:textId="389EA4EA" w:rsidR="005B5D9E" w:rsidRPr="005B5D9E" w:rsidRDefault="005B5D9E" w:rsidP="005B5D9E">
            <w:pPr>
              <w:pStyle w:val="BodyText"/>
              <w:ind w:left="0"/>
            </w:pPr>
            <w:r w:rsidRPr="005B5D9E">
              <w:t>Registration</w:t>
            </w:r>
          </w:p>
        </w:tc>
      </w:tr>
      <w:tr w:rsidR="005B5D9E" w:rsidRPr="005B5D9E" w14:paraId="191CDC8E" w14:textId="77777777" w:rsidTr="005B5D9E">
        <w:tc>
          <w:tcPr>
            <w:tcW w:w="2234" w:type="dxa"/>
            <w:tcMar>
              <w:top w:w="57" w:type="dxa"/>
              <w:bottom w:w="57" w:type="dxa"/>
            </w:tcMar>
          </w:tcPr>
          <w:p w14:paraId="476B8EAB" w14:textId="400C459E" w:rsidR="005B5D9E" w:rsidRPr="005B5D9E" w:rsidRDefault="005B5D9E" w:rsidP="005B5D9E">
            <w:pPr>
              <w:pStyle w:val="BodyText"/>
              <w:ind w:left="0"/>
            </w:pPr>
            <w:r w:rsidRPr="005B5D9E">
              <w:rPr>
                <w:b/>
              </w:rPr>
              <w:t>Applies to:</w:t>
            </w:r>
          </w:p>
        </w:tc>
        <w:tc>
          <w:tcPr>
            <w:tcW w:w="8020" w:type="dxa"/>
            <w:tcMar>
              <w:top w:w="57" w:type="dxa"/>
              <w:bottom w:w="57" w:type="dxa"/>
            </w:tcMar>
          </w:tcPr>
          <w:p w14:paraId="044D009B" w14:textId="7715B642" w:rsidR="005B5D9E" w:rsidRPr="005B5D9E" w:rsidRDefault="00AF2A63" w:rsidP="005B5D9E">
            <w:pPr>
              <w:pStyle w:val="BodyText"/>
              <w:ind w:left="0"/>
            </w:pPr>
            <w:r w:rsidRPr="00433F13">
              <w:rPr>
                <w:rFonts w:eastAsia="Calibri"/>
                <w:bCs/>
              </w:rPr>
              <w:t>All Staff</w:t>
            </w:r>
          </w:p>
        </w:tc>
      </w:tr>
      <w:tr w:rsidR="005B5D9E" w:rsidRPr="005B5D9E" w14:paraId="5F9DD9E4" w14:textId="77777777" w:rsidTr="005B5D9E">
        <w:tc>
          <w:tcPr>
            <w:tcW w:w="2234" w:type="dxa"/>
            <w:tcMar>
              <w:top w:w="57" w:type="dxa"/>
              <w:bottom w:w="57" w:type="dxa"/>
            </w:tcMar>
          </w:tcPr>
          <w:p w14:paraId="0345E771" w14:textId="0E6B8CF2" w:rsidR="005B5D9E" w:rsidRPr="005B5D9E" w:rsidRDefault="005B5D9E" w:rsidP="005B5D9E">
            <w:pPr>
              <w:pStyle w:val="BodyText"/>
              <w:ind w:left="0"/>
            </w:pPr>
            <w:r w:rsidRPr="005B5D9E">
              <w:rPr>
                <w:b/>
              </w:rPr>
              <w:t>Approved by</w:t>
            </w:r>
            <w:r w:rsidRPr="005B5D9E">
              <w:t>:</w:t>
            </w:r>
          </w:p>
        </w:tc>
        <w:tc>
          <w:tcPr>
            <w:tcW w:w="8020" w:type="dxa"/>
            <w:tcMar>
              <w:top w:w="57" w:type="dxa"/>
              <w:bottom w:w="57" w:type="dxa"/>
            </w:tcMar>
          </w:tcPr>
          <w:p w14:paraId="2BCC81D7" w14:textId="1086B3D3" w:rsidR="005B5D9E" w:rsidRPr="005B5D9E" w:rsidRDefault="00AF2A63" w:rsidP="005B5D9E">
            <w:pPr>
              <w:pStyle w:val="BodyText"/>
              <w:ind w:left="0"/>
            </w:pPr>
            <w:r w:rsidRPr="00433F13">
              <w:rPr>
                <w:rFonts w:eastAsia="Calibri"/>
                <w:bCs/>
              </w:rPr>
              <w:t>Board</w:t>
            </w:r>
          </w:p>
        </w:tc>
      </w:tr>
      <w:tr w:rsidR="005B5D9E" w:rsidRPr="005B5D9E" w14:paraId="0012E9CA" w14:textId="77777777" w:rsidTr="005B5D9E">
        <w:tc>
          <w:tcPr>
            <w:tcW w:w="2234" w:type="dxa"/>
            <w:tcMar>
              <w:top w:w="57" w:type="dxa"/>
              <w:bottom w:w="57" w:type="dxa"/>
            </w:tcMar>
          </w:tcPr>
          <w:p w14:paraId="45BCE6EE" w14:textId="67A86D22" w:rsidR="005B5D9E" w:rsidRPr="005B5D9E" w:rsidRDefault="005B5D9E" w:rsidP="005B5D9E">
            <w:pPr>
              <w:pStyle w:val="BodyText"/>
              <w:ind w:left="0"/>
            </w:pPr>
            <w:r w:rsidRPr="005B5D9E">
              <w:rPr>
                <w:b/>
              </w:rPr>
              <w:t>Date Established:</w:t>
            </w:r>
          </w:p>
        </w:tc>
        <w:tc>
          <w:tcPr>
            <w:tcW w:w="8020" w:type="dxa"/>
            <w:tcMar>
              <w:top w:w="57" w:type="dxa"/>
              <w:bottom w:w="57" w:type="dxa"/>
            </w:tcMar>
          </w:tcPr>
          <w:p w14:paraId="7AF40FE6" w14:textId="672462F5" w:rsidR="005B5D9E" w:rsidRPr="005B5D9E" w:rsidRDefault="00AF2A63" w:rsidP="005B5D9E">
            <w:pPr>
              <w:pStyle w:val="BodyText"/>
              <w:ind w:left="0"/>
            </w:pPr>
            <w:r>
              <w:t>January 2025</w:t>
            </w:r>
          </w:p>
        </w:tc>
      </w:tr>
      <w:tr w:rsidR="005B5D9E" w:rsidRPr="005B5D9E" w14:paraId="65863052" w14:textId="77777777" w:rsidTr="005B5D9E">
        <w:tc>
          <w:tcPr>
            <w:tcW w:w="2234" w:type="dxa"/>
            <w:tcMar>
              <w:top w:w="57" w:type="dxa"/>
              <w:bottom w:w="57" w:type="dxa"/>
            </w:tcMar>
          </w:tcPr>
          <w:p w14:paraId="709F87FA" w14:textId="30EA7D12" w:rsidR="005B5D9E" w:rsidRPr="005B5D9E" w:rsidRDefault="005B5D9E" w:rsidP="005B5D9E">
            <w:pPr>
              <w:pStyle w:val="BodyText"/>
              <w:ind w:left="0"/>
            </w:pPr>
            <w:r w:rsidRPr="005B5D9E">
              <w:rPr>
                <w:b/>
              </w:rPr>
              <w:t>Date Revised:</w:t>
            </w:r>
          </w:p>
        </w:tc>
        <w:tc>
          <w:tcPr>
            <w:tcW w:w="8020" w:type="dxa"/>
            <w:tcMar>
              <w:top w:w="57" w:type="dxa"/>
              <w:bottom w:w="57" w:type="dxa"/>
            </w:tcMar>
          </w:tcPr>
          <w:p w14:paraId="3330785C" w14:textId="6D01C863" w:rsidR="005B5D9E" w:rsidRPr="005B5D9E" w:rsidRDefault="005B5D9E" w:rsidP="005B5D9E">
            <w:pPr>
              <w:pStyle w:val="BodyText"/>
              <w:ind w:left="0"/>
            </w:pPr>
          </w:p>
        </w:tc>
      </w:tr>
    </w:tbl>
    <w:p w14:paraId="10E90146" w14:textId="77777777" w:rsidR="006D65EC" w:rsidRPr="00AF2A63" w:rsidRDefault="00BE0218" w:rsidP="00AF2A63">
      <w:pPr>
        <w:pStyle w:val="Heading1"/>
      </w:pPr>
      <w:r w:rsidRPr="00AF2A63">
        <w:t>Purpose</w:t>
      </w:r>
    </w:p>
    <w:p w14:paraId="6ECCB610" w14:textId="6A179637" w:rsidR="006D65EC" w:rsidRPr="005B5D9E" w:rsidRDefault="00AF2A63" w:rsidP="00AF2A63">
      <w:pPr>
        <w:pStyle w:val="BodyText"/>
        <w:spacing w:before="120"/>
        <w:ind w:left="0"/>
      </w:pPr>
      <w:r w:rsidRPr="00AF2A63">
        <w:t>This policy describes the guidelines and procedures for the secure collection, storage, and management of sociodemographic data. The goal is to ensure that sociodemographic data is handled ethically, securely, and in compliance with applicable laws and regulations.</w:t>
      </w:r>
    </w:p>
    <w:p w14:paraId="3E71800B" w14:textId="747061F7" w:rsidR="006D65EC" w:rsidRPr="00AF2A63" w:rsidRDefault="00AF2A63" w:rsidP="00AF2A63">
      <w:pPr>
        <w:pStyle w:val="Heading1"/>
      </w:pPr>
      <w:bookmarkStart w:id="0" w:name="Principles"/>
      <w:bookmarkEnd w:id="0"/>
      <w:r w:rsidRPr="00AF2A63">
        <w:t>Scope</w:t>
      </w:r>
    </w:p>
    <w:p w14:paraId="234A0622" w14:textId="672E3B3A" w:rsidR="006D65EC" w:rsidRDefault="00AF2A63" w:rsidP="001C157E">
      <w:pPr>
        <w:pStyle w:val="BodyText"/>
        <w:spacing w:before="120"/>
        <w:ind w:left="0"/>
      </w:pPr>
      <w:r w:rsidRPr="00AF2A63">
        <w:t>This policy applies to the College and staff involved in the collection, management, and analysis of sociodemographic data including racialized group and ethnic identity collected at registration. It covers the processes of data collection, storage, protection, access control, and usage for regulatory and policy development purposes.</w:t>
      </w:r>
    </w:p>
    <w:p w14:paraId="735A60F4" w14:textId="77777777" w:rsidR="00AF2A63" w:rsidRPr="00AF2A63" w:rsidRDefault="00AF2A63" w:rsidP="00AF2A63">
      <w:pPr>
        <w:pStyle w:val="Heading1"/>
        <w:rPr>
          <w:color w:val="005EB8"/>
        </w:rPr>
      </w:pPr>
      <w:bookmarkStart w:id="1" w:name="_Hlk181940508"/>
      <w:r w:rsidRPr="00AF2A63">
        <w:t>Definitions</w:t>
      </w:r>
      <w:r w:rsidRPr="00AF2A63">
        <w:rPr>
          <w:rStyle w:val="FootnoteReference"/>
        </w:rPr>
        <w:footnoteReference w:id="1"/>
      </w:r>
      <w:r w:rsidRPr="00AF2A63">
        <w:t>:</w:t>
      </w:r>
    </w:p>
    <w:bookmarkEnd w:id="1"/>
    <w:p w14:paraId="6D465BDC" w14:textId="77777777" w:rsidR="00AF2A63" w:rsidRPr="0036241D" w:rsidRDefault="00AF2A63" w:rsidP="00AF2A63">
      <w:pPr>
        <w:spacing w:before="240" w:after="60" w:line="276" w:lineRule="auto"/>
      </w:pPr>
      <w:r w:rsidRPr="0036241D">
        <w:rPr>
          <w:b/>
          <w:bCs/>
        </w:rPr>
        <w:t>Sociodemographic Data:</w:t>
      </w:r>
      <w:r w:rsidRPr="0036241D">
        <w:t xml:space="preserve"> Information encompassing a broad array of characteristics, including but not limited to age, sex, gender, racialized group, and geographic location.</w:t>
      </w:r>
      <w:r>
        <w:rPr>
          <w:rStyle w:val="FootnoteReference"/>
        </w:rPr>
        <w:footnoteReference w:id="2"/>
      </w:r>
      <w:r w:rsidRPr="0036241D">
        <w:t xml:space="preserve">  </w:t>
      </w:r>
    </w:p>
    <w:p w14:paraId="3F3F046D" w14:textId="77777777" w:rsidR="00AF2A63" w:rsidRPr="0036241D" w:rsidRDefault="00AF2A63" w:rsidP="00AF2A63">
      <w:pPr>
        <w:spacing w:before="240" w:after="60" w:line="276" w:lineRule="auto"/>
      </w:pPr>
      <w:r w:rsidRPr="0036241D">
        <w:rPr>
          <w:b/>
          <w:bCs/>
        </w:rPr>
        <w:t>Data Security:</w:t>
      </w:r>
      <w:r w:rsidRPr="0036241D">
        <w:t xml:space="preserve"> Measures taken to protect data from unauthorized access, loss, or corruption.</w:t>
      </w:r>
    </w:p>
    <w:p w14:paraId="6F99AD06" w14:textId="77777777" w:rsidR="00AF2A63" w:rsidRPr="0036241D" w:rsidRDefault="00AF2A63" w:rsidP="00AF2A63">
      <w:pPr>
        <w:spacing w:before="240" w:after="60" w:line="276" w:lineRule="auto"/>
      </w:pPr>
      <w:r w:rsidRPr="0036241D">
        <w:rPr>
          <w:b/>
          <w:bCs/>
        </w:rPr>
        <w:t xml:space="preserve">Confidentiality: </w:t>
      </w:r>
      <w:r w:rsidRPr="0036241D">
        <w:t>The obligation to protect personally identifiable information from unauthorized disclosure.</w:t>
      </w:r>
    </w:p>
    <w:p w14:paraId="27689EA3" w14:textId="22ACCEB4" w:rsidR="00AF2A63" w:rsidRDefault="00AF2A63" w:rsidP="00AF2A63">
      <w:r w:rsidRPr="005653DF">
        <w:rPr>
          <w:b/>
          <w:bCs/>
        </w:rPr>
        <w:t xml:space="preserve">Race:   </w:t>
      </w:r>
      <w:r w:rsidRPr="005653DF">
        <w:t xml:space="preserve">Race is a social construct used to categorize people based on </w:t>
      </w:r>
      <w:r w:rsidRPr="000C617C">
        <w:t>visible or physical</w:t>
      </w:r>
      <w:r w:rsidRPr="005653DF">
        <w:t xml:space="preserve"> traits, such as skin </w:t>
      </w:r>
      <w:proofErr w:type="spellStart"/>
      <w:r w:rsidRPr="005653DF">
        <w:t>colour</w:t>
      </w:r>
      <w:proofErr w:type="spellEnd"/>
      <w:r w:rsidRPr="005653DF">
        <w:t>, hair texture, and facial features</w:t>
      </w:r>
      <w:r>
        <w:t xml:space="preserve"> which are often seen as inherent traits.</w:t>
      </w:r>
      <w:r>
        <w:rPr>
          <w:rStyle w:val="FootnoteReference"/>
        </w:rPr>
        <w:footnoteReference w:id="3"/>
      </w:r>
      <w:r w:rsidRPr="005653DF">
        <w:t xml:space="preserve"> </w:t>
      </w:r>
    </w:p>
    <w:p w14:paraId="26E481F8" w14:textId="77777777" w:rsidR="00AF2A63" w:rsidRDefault="00AF2A63" w:rsidP="00AF2A63">
      <w:r w:rsidRPr="000C617C">
        <w:rPr>
          <w:b/>
          <w:bCs/>
        </w:rPr>
        <w:lastRenderedPageBreak/>
        <w:t>Racialized Group Identity:</w:t>
      </w:r>
      <w:r w:rsidRPr="000C617C">
        <w:t xml:space="preserve">  </w:t>
      </w:r>
      <w:bookmarkStart w:id="3" w:name="_Hlk189482753"/>
      <w:r w:rsidRPr="000C617C">
        <w:t>Racialized group is used in this policy to describe those affected by racism. Racialized groups can encounter a range of racisms, which can overlap or intersect with other social, ethnic or cultural groupings.</w:t>
      </w:r>
      <w:r w:rsidRPr="000C617C">
        <w:rPr>
          <w:rStyle w:val="FootnoteReference"/>
        </w:rPr>
        <w:footnoteReference w:id="4"/>
      </w:r>
      <w:r w:rsidRPr="000C617C">
        <w:t xml:space="preserve">  Racialized Groups are organized along the lines of people and their visible or physical traits and may or may not intersect with geographic location and/or place of origin.</w:t>
      </w:r>
      <w:bookmarkEnd w:id="3"/>
    </w:p>
    <w:p w14:paraId="63E3D4B2" w14:textId="77777777" w:rsidR="00AF2A63" w:rsidRDefault="00AF2A63" w:rsidP="00AF2A63"/>
    <w:p w14:paraId="275AC68F" w14:textId="77777777" w:rsidR="00AF2A63" w:rsidRPr="0036241D" w:rsidRDefault="00AF2A63" w:rsidP="00AF2A63">
      <w:bookmarkStart w:id="4" w:name="_Hlk189486296"/>
      <w:r w:rsidRPr="000C617C">
        <w:rPr>
          <w:b/>
          <w:bCs/>
        </w:rPr>
        <w:t>Indigenous Identity:</w:t>
      </w:r>
      <w:r w:rsidRPr="000C617C">
        <w:t xml:space="preserve">  Indigenous identity refers to whether a person identifies with the Indigenous peoples of Canada. This includes those who identify as First Nations (North American Indian), Métis and/or Inuk (Inuit), and/or those who report being Registered or Treaty Indians (that is, registered under the Indian Act of Canada), and/or those who have membership in a First Nation or Indian band. </w:t>
      </w:r>
      <w:bookmarkStart w:id="5" w:name="_Hlk189485109"/>
      <w:r w:rsidRPr="000C617C">
        <w:t>Aboriginal peoples of Canada (referred to here as Indigenous peoples) are defined in the Constitution Act, 1982, Section 35 (2) as including the Indian, Inuit and Métis peoples of Canada</w:t>
      </w:r>
      <w:bookmarkEnd w:id="5"/>
      <w:r w:rsidRPr="000C617C">
        <w:t>.</w:t>
      </w:r>
      <w:r w:rsidRPr="000C617C">
        <w:rPr>
          <w:rStyle w:val="FootnoteReference"/>
        </w:rPr>
        <w:footnoteReference w:id="5"/>
      </w:r>
    </w:p>
    <w:bookmarkEnd w:id="4"/>
    <w:p w14:paraId="0DF47FF3" w14:textId="77777777" w:rsidR="00AF2A63" w:rsidRPr="00433F13" w:rsidRDefault="00AF2A63" w:rsidP="00AF2A63">
      <w:pPr>
        <w:pStyle w:val="Heading1"/>
        <w:rPr>
          <w:color w:val="005EB8"/>
        </w:rPr>
      </w:pPr>
      <w:r w:rsidRPr="00AF2A63">
        <w:t>Guiding Principle(s) of Data Governance</w:t>
      </w:r>
      <w:r w:rsidRPr="00AF2A63">
        <w:rPr>
          <w:rStyle w:val="FootnoteReference"/>
        </w:rPr>
        <w:footnoteReference w:id="6"/>
      </w:r>
      <w:r w:rsidRPr="00AF2A63">
        <w:t>:</w:t>
      </w:r>
    </w:p>
    <w:p w14:paraId="77DD447F" w14:textId="77777777" w:rsidR="00AF2A63" w:rsidRPr="00433F13" w:rsidRDefault="00AF2A63" w:rsidP="00AF2A63">
      <w:pPr>
        <w:pStyle w:val="PolicyandProcedureHeading"/>
        <w:spacing w:after="60" w:line="276" w:lineRule="auto"/>
        <w:jc w:val="left"/>
        <w:rPr>
          <w:rFonts w:ascii="Arial" w:hAnsi="Arial" w:cs="Arial"/>
          <w:b w:val="0"/>
          <w:bCs w:val="0"/>
        </w:rPr>
      </w:pPr>
      <w:bookmarkStart w:id="6" w:name="_Hlk183524803"/>
      <w:r w:rsidRPr="00433F13">
        <w:rPr>
          <w:rFonts w:ascii="Arial" w:hAnsi="Arial" w:cs="Arial"/>
          <w:sz w:val="22"/>
          <w:szCs w:val="22"/>
        </w:rPr>
        <w:t xml:space="preserve">Regulatory Duties and </w:t>
      </w:r>
      <w:r>
        <w:rPr>
          <w:rFonts w:ascii="Arial" w:hAnsi="Arial" w:cs="Arial"/>
          <w:sz w:val="22"/>
          <w:szCs w:val="22"/>
        </w:rPr>
        <w:t>Sociodemographic</w:t>
      </w:r>
      <w:r w:rsidRPr="00433F13">
        <w:rPr>
          <w:rFonts w:ascii="Arial" w:hAnsi="Arial" w:cs="Arial"/>
          <w:sz w:val="22"/>
          <w:szCs w:val="22"/>
        </w:rPr>
        <w:t xml:space="preserve"> Data:</w:t>
      </w:r>
      <w:r w:rsidRPr="00433F13">
        <w:rPr>
          <w:rFonts w:ascii="Arial" w:hAnsi="Arial" w:cs="Arial"/>
          <w:b w:val="0"/>
          <w:bCs w:val="0"/>
        </w:rPr>
        <w:t xml:space="preserve">  In compliance with the </w:t>
      </w:r>
      <w:bookmarkStart w:id="7" w:name="_Hlk183170689"/>
      <w:r w:rsidRPr="00433F13">
        <w:rPr>
          <w:rFonts w:ascii="Arial" w:hAnsi="Arial" w:cs="Arial"/>
          <w:b w:val="0"/>
          <w:bCs w:val="0"/>
        </w:rPr>
        <w:t xml:space="preserve">Regulated Health Professions Act, 1991 and the Occupational Therapy Act, 1991, </w:t>
      </w:r>
      <w:bookmarkEnd w:id="7"/>
      <w:r w:rsidRPr="00433F13">
        <w:rPr>
          <w:rFonts w:ascii="Arial" w:hAnsi="Arial" w:cs="Arial"/>
          <w:b w:val="0"/>
          <w:bCs w:val="0"/>
        </w:rPr>
        <w:t xml:space="preserve">the College has an accountability to collect certain personal information in the interests of the public.   </w:t>
      </w:r>
    </w:p>
    <w:bookmarkEnd w:id="6"/>
    <w:p w14:paraId="7E99B751" w14:textId="77777777" w:rsidR="00AF2A63" w:rsidRPr="00433F13" w:rsidRDefault="00AF2A63" w:rsidP="00AF2A63">
      <w:pPr>
        <w:pStyle w:val="PolicyandProcedureHeading"/>
        <w:spacing w:after="60" w:line="276" w:lineRule="auto"/>
        <w:jc w:val="left"/>
        <w:rPr>
          <w:rFonts w:ascii="Arial" w:hAnsi="Arial" w:cs="Arial"/>
          <w:b w:val="0"/>
          <w:bCs w:val="0"/>
          <w:sz w:val="22"/>
          <w:szCs w:val="22"/>
        </w:rPr>
      </w:pPr>
      <w:r w:rsidRPr="00433F13">
        <w:rPr>
          <w:rFonts w:ascii="Arial" w:hAnsi="Arial" w:cs="Arial"/>
          <w:sz w:val="22"/>
          <w:szCs w:val="22"/>
        </w:rPr>
        <w:t xml:space="preserve">Ownership:  </w:t>
      </w:r>
      <w:r w:rsidRPr="00433F13">
        <w:rPr>
          <w:rFonts w:ascii="Arial" w:hAnsi="Arial" w:cs="Arial"/>
          <w:b w:val="0"/>
          <w:bCs w:val="0"/>
          <w:sz w:val="22"/>
          <w:szCs w:val="22"/>
        </w:rPr>
        <w:t xml:space="preserve">Registrants retain ownership of their </w:t>
      </w:r>
      <w:r>
        <w:rPr>
          <w:rFonts w:ascii="Arial" w:hAnsi="Arial" w:cs="Arial"/>
          <w:b w:val="0"/>
          <w:bCs w:val="0"/>
          <w:sz w:val="22"/>
          <w:szCs w:val="22"/>
        </w:rPr>
        <w:t>sociodemographic</w:t>
      </w:r>
      <w:r w:rsidRPr="00433F13">
        <w:rPr>
          <w:rFonts w:ascii="Arial" w:hAnsi="Arial" w:cs="Arial"/>
          <w:b w:val="0"/>
          <w:bCs w:val="0"/>
          <w:sz w:val="22"/>
          <w:szCs w:val="22"/>
        </w:rPr>
        <w:t xml:space="preserve"> data. They have the right to volunteer certain additional </w:t>
      </w:r>
      <w:r>
        <w:rPr>
          <w:rFonts w:ascii="Arial" w:hAnsi="Arial" w:cs="Arial"/>
          <w:b w:val="0"/>
          <w:bCs w:val="0"/>
          <w:sz w:val="22"/>
          <w:szCs w:val="22"/>
        </w:rPr>
        <w:t>sociodemographic</w:t>
      </w:r>
      <w:r w:rsidRPr="00433F13">
        <w:rPr>
          <w:rFonts w:ascii="Arial" w:hAnsi="Arial" w:cs="Arial"/>
          <w:b w:val="0"/>
          <w:bCs w:val="0"/>
          <w:sz w:val="22"/>
          <w:szCs w:val="22"/>
        </w:rPr>
        <w:t xml:space="preserve"> data and know how their data is collected, used, and shared. </w:t>
      </w:r>
    </w:p>
    <w:p w14:paraId="6A1A8FF1" w14:textId="77777777" w:rsidR="00AF2A63" w:rsidRPr="00433F1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Cs w:val="0"/>
          <w:sz w:val="22"/>
          <w:szCs w:val="22"/>
          <w:lang w:val="en-CA"/>
        </w:rPr>
        <w:t>Respect for Privacy:</w:t>
      </w:r>
      <w:r w:rsidRPr="00433F13">
        <w:rPr>
          <w:rFonts w:ascii="Arial" w:eastAsia="Arial Narrow" w:hAnsi="Arial" w:cs="Arial"/>
          <w:b w:val="0"/>
          <w:sz w:val="22"/>
          <w:szCs w:val="22"/>
          <w:lang w:val="en-CA"/>
        </w:rPr>
        <w:t xml:space="preserve"> All </w:t>
      </w:r>
      <w:r>
        <w:rPr>
          <w:rFonts w:ascii="Arial" w:eastAsia="Arial Narrow" w:hAnsi="Arial" w:cs="Arial"/>
          <w:b w:val="0"/>
          <w:sz w:val="22"/>
          <w:szCs w:val="22"/>
          <w:lang w:val="en-CA"/>
        </w:rPr>
        <w:t>sociodemographic</w:t>
      </w:r>
      <w:r w:rsidRPr="00433F13">
        <w:rPr>
          <w:rFonts w:ascii="Arial" w:eastAsia="Arial Narrow" w:hAnsi="Arial" w:cs="Arial"/>
          <w:b w:val="0"/>
          <w:sz w:val="22"/>
          <w:szCs w:val="22"/>
          <w:lang w:val="en-CA"/>
        </w:rPr>
        <w:t xml:space="preserve"> data is collected and stored in a manner that respects individual privacy rights and complies with relevant data protection laws.</w:t>
      </w:r>
    </w:p>
    <w:p w14:paraId="1810F196" w14:textId="77777777" w:rsidR="00AF2A63" w:rsidRPr="00433F1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Cs w:val="0"/>
          <w:sz w:val="22"/>
          <w:szCs w:val="22"/>
          <w:lang w:val="en-CA"/>
        </w:rPr>
        <w:t>Transparency and Accountability:</w:t>
      </w:r>
      <w:r w:rsidRPr="00433F13">
        <w:rPr>
          <w:rFonts w:ascii="Arial" w:eastAsia="Arial Narrow" w:hAnsi="Arial" w:cs="Arial"/>
          <w:b w:val="0"/>
          <w:sz w:val="22"/>
          <w:szCs w:val="22"/>
          <w:lang w:val="en-CA"/>
        </w:rPr>
        <w:t xml:space="preserve"> The data collection process is transparent.  The College is accountable for how </w:t>
      </w:r>
      <w:r>
        <w:rPr>
          <w:rFonts w:ascii="Arial" w:eastAsia="Arial Narrow" w:hAnsi="Arial" w:cs="Arial"/>
          <w:b w:val="0"/>
          <w:sz w:val="22"/>
          <w:szCs w:val="22"/>
          <w:lang w:val="en-CA"/>
        </w:rPr>
        <w:t>sociodemographic</w:t>
      </w:r>
      <w:r w:rsidRPr="00433F13">
        <w:rPr>
          <w:rFonts w:ascii="Arial" w:eastAsia="Arial Narrow" w:hAnsi="Arial" w:cs="Arial"/>
          <w:b w:val="0"/>
          <w:sz w:val="22"/>
          <w:szCs w:val="22"/>
          <w:lang w:val="en-CA"/>
        </w:rPr>
        <w:t xml:space="preserve"> data is used to inform policies and practices.</w:t>
      </w:r>
    </w:p>
    <w:p w14:paraId="5D10C395" w14:textId="77777777" w:rsidR="00AF2A63" w:rsidRPr="00433F1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Cs w:val="0"/>
          <w:sz w:val="22"/>
          <w:szCs w:val="22"/>
          <w:lang w:val="en-CA"/>
        </w:rPr>
        <w:t xml:space="preserve">Non-Discrimination: </w:t>
      </w:r>
      <w:r w:rsidRPr="00433F13">
        <w:rPr>
          <w:rFonts w:ascii="Arial" w:eastAsia="Arial Narrow" w:hAnsi="Arial" w:cs="Arial"/>
          <w:b w:val="0"/>
          <w:sz w:val="22"/>
          <w:szCs w:val="22"/>
          <w:lang w:val="en-CA"/>
        </w:rPr>
        <w:t>The data is not used to discriminate against individuals or groups based on racial</w:t>
      </w:r>
      <w:r>
        <w:rPr>
          <w:rFonts w:ascii="Arial" w:eastAsia="Arial Narrow" w:hAnsi="Arial" w:cs="Arial"/>
          <w:b w:val="0"/>
          <w:sz w:val="22"/>
          <w:szCs w:val="22"/>
          <w:lang w:val="en-CA"/>
        </w:rPr>
        <w:t>ized</w:t>
      </w:r>
      <w:r w:rsidRPr="00433F13">
        <w:rPr>
          <w:rFonts w:ascii="Arial" w:eastAsia="Arial Narrow" w:hAnsi="Arial" w:cs="Arial"/>
          <w:b w:val="0"/>
          <w:sz w:val="22"/>
          <w:szCs w:val="22"/>
          <w:lang w:val="en-CA"/>
        </w:rPr>
        <w:t xml:space="preserve"> </w:t>
      </w:r>
      <w:r>
        <w:rPr>
          <w:rFonts w:ascii="Arial" w:eastAsia="Arial Narrow" w:hAnsi="Arial" w:cs="Arial"/>
          <w:b w:val="0"/>
          <w:sz w:val="22"/>
          <w:szCs w:val="22"/>
          <w:lang w:val="en-CA"/>
        </w:rPr>
        <w:t xml:space="preserve">group </w:t>
      </w:r>
      <w:r w:rsidRPr="00433F13">
        <w:rPr>
          <w:rFonts w:ascii="Arial" w:eastAsia="Arial Narrow" w:hAnsi="Arial" w:cs="Arial"/>
          <w:b w:val="0"/>
          <w:sz w:val="22"/>
          <w:szCs w:val="22"/>
          <w:lang w:val="en-CA"/>
        </w:rPr>
        <w:t xml:space="preserve">or ethnic identity. It </w:t>
      </w:r>
      <w:r>
        <w:rPr>
          <w:rFonts w:ascii="Arial" w:eastAsia="Arial Narrow" w:hAnsi="Arial" w:cs="Arial"/>
          <w:b w:val="0"/>
          <w:sz w:val="22"/>
          <w:szCs w:val="22"/>
          <w:lang w:val="en-CA"/>
        </w:rPr>
        <w:t>serves</w:t>
      </w:r>
      <w:r w:rsidRPr="00433F13">
        <w:rPr>
          <w:rFonts w:ascii="Arial" w:eastAsia="Arial Narrow" w:hAnsi="Arial" w:cs="Arial"/>
          <w:b w:val="0"/>
          <w:sz w:val="22"/>
          <w:szCs w:val="22"/>
          <w:lang w:val="en-CA"/>
        </w:rPr>
        <w:t xml:space="preserve"> as a tool to identify and </w:t>
      </w:r>
      <w:r>
        <w:rPr>
          <w:rFonts w:ascii="Arial" w:eastAsia="Arial Narrow" w:hAnsi="Arial" w:cs="Arial"/>
          <w:b w:val="0"/>
          <w:sz w:val="22"/>
          <w:szCs w:val="22"/>
          <w:lang w:val="en-CA"/>
        </w:rPr>
        <w:t xml:space="preserve">help </w:t>
      </w:r>
      <w:r w:rsidRPr="00433F13">
        <w:rPr>
          <w:rFonts w:ascii="Arial" w:eastAsia="Arial Narrow" w:hAnsi="Arial" w:cs="Arial"/>
          <w:b w:val="0"/>
          <w:sz w:val="22"/>
          <w:szCs w:val="22"/>
          <w:lang w:val="en-CA"/>
        </w:rPr>
        <w:t>reduce disparities in healthcare outcomes.</w:t>
      </w:r>
    </w:p>
    <w:p w14:paraId="672C1EE4" w14:textId="77777777" w:rsidR="00AF2A6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Cs w:val="0"/>
          <w:sz w:val="22"/>
          <w:szCs w:val="22"/>
          <w:lang w:val="en-CA"/>
        </w:rPr>
        <w:t xml:space="preserve">Data Minimization: </w:t>
      </w:r>
      <w:r w:rsidRPr="00433F13">
        <w:rPr>
          <w:rFonts w:ascii="Arial" w:eastAsia="Arial Narrow" w:hAnsi="Arial" w:cs="Arial"/>
          <w:b w:val="0"/>
          <w:sz w:val="22"/>
          <w:szCs w:val="22"/>
          <w:lang w:val="en-CA"/>
        </w:rPr>
        <w:t xml:space="preserve">Only the data necessary to achieve regulatory goals is collected, and personal data is kept </w:t>
      </w:r>
      <w:r w:rsidRPr="00433F13">
        <w:rPr>
          <w:rFonts w:ascii="Arial" w:eastAsia="Arial Narrow" w:hAnsi="Arial" w:cs="Arial"/>
          <w:b w:val="0"/>
          <w:bCs w:val="0"/>
          <w:sz w:val="22"/>
          <w:szCs w:val="22"/>
          <w:lang w:val="en-CA"/>
        </w:rPr>
        <w:t xml:space="preserve">no </w:t>
      </w:r>
      <w:r w:rsidRPr="00433F13">
        <w:rPr>
          <w:rFonts w:ascii="Arial" w:eastAsia="Arial Narrow" w:hAnsi="Arial" w:cs="Arial"/>
          <w:b w:val="0"/>
          <w:sz w:val="22"/>
          <w:szCs w:val="22"/>
          <w:lang w:val="en-CA"/>
        </w:rPr>
        <w:t>longer than necessary.</w:t>
      </w:r>
    </w:p>
    <w:p w14:paraId="1944F145" w14:textId="77777777" w:rsidR="00AF2A63" w:rsidRPr="00FB0648" w:rsidRDefault="00AF2A63" w:rsidP="00AF2A63">
      <w:pPr>
        <w:pStyle w:val="PolicyandProcedureHeading"/>
        <w:spacing w:after="60" w:line="276" w:lineRule="auto"/>
        <w:jc w:val="left"/>
        <w:rPr>
          <w:rFonts w:ascii="Arial" w:eastAsia="Arial Narrow" w:hAnsi="Arial" w:cs="Arial"/>
          <w:b w:val="0"/>
          <w:sz w:val="22"/>
          <w:szCs w:val="22"/>
          <w:lang w:val="en-CA"/>
        </w:rPr>
      </w:pPr>
      <w:r w:rsidRPr="00A831AE">
        <w:rPr>
          <w:rFonts w:ascii="Arial" w:eastAsia="Arial Narrow" w:hAnsi="Arial" w:cs="Arial"/>
          <w:bCs w:val="0"/>
          <w:sz w:val="22"/>
          <w:szCs w:val="22"/>
          <w:lang w:val="en-CA"/>
        </w:rPr>
        <w:t xml:space="preserve">Recognition:  </w:t>
      </w:r>
      <w:r>
        <w:rPr>
          <w:rFonts w:ascii="Arial" w:eastAsia="Arial Narrow" w:hAnsi="Arial" w:cs="Arial"/>
          <w:b w:val="0"/>
          <w:sz w:val="22"/>
          <w:szCs w:val="22"/>
          <w:lang w:val="en-CA"/>
        </w:rPr>
        <w:t xml:space="preserve">The contributions of communities are acknowledged and valued.  </w:t>
      </w:r>
    </w:p>
    <w:p w14:paraId="04E8A99B" w14:textId="77777777" w:rsidR="00AF2A63" w:rsidRPr="00433F1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Cs w:val="0"/>
          <w:sz w:val="22"/>
          <w:szCs w:val="22"/>
          <w:lang w:val="en-CA"/>
        </w:rPr>
        <w:lastRenderedPageBreak/>
        <w:t xml:space="preserve">Healthcare System Equity: </w:t>
      </w:r>
      <w:r w:rsidRPr="00433F13">
        <w:rPr>
          <w:rFonts w:ascii="Arial" w:eastAsia="Arial Narrow" w:hAnsi="Arial" w:cs="Arial"/>
          <w:b w:val="0"/>
          <w:sz w:val="22"/>
          <w:szCs w:val="22"/>
          <w:lang w:val="en-CA"/>
        </w:rPr>
        <w:t xml:space="preserve"> By collecting </w:t>
      </w:r>
      <w:r>
        <w:rPr>
          <w:rFonts w:ascii="Arial" w:eastAsia="Arial Narrow" w:hAnsi="Arial" w:cs="Arial"/>
          <w:b w:val="0"/>
          <w:sz w:val="22"/>
          <w:szCs w:val="22"/>
          <w:lang w:val="en-CA"/>
        </w:rPr>
        <w:t>sociodemographic</w:t>
      </w:r>
      <w:r w:rsidRPr="00433F13">
        <w:rPr>
          <w:rFonts w:ascii="Arial" w:eastAsia="Arial Narrow" w:hAnsi="Arial" w:cs="Arial"/>
          <w:b w:val="0"/>
          <w:sz w:val="22"/>
          <w:szCs w:val="22"/>
          <w:lang w:val="en-CA"/>
        </w:rPr>
        <w:t xml:space="preserve"> data </w:t>
      </w:r>
      <w:r>
        <w:rPr>
          <w:rFonts w:ascii="Arial" w:eastAsia="Arial Narrow" w:hAnsi="Arial" w:cs="Arial"/>
          <w:b w:val="0"/>
          <w:sz w:val="22"/>
          <w:szCs w:val="22"/>
          <w:lang w:val="en-CA"/>
        </w:rPr>
        <w:t>about</w:t>
      </w:r>
      <w:r w:rsidRPr="00433F13">
        <w:rPr>
          <w:rFonts w:ascii="Arial" w:eastAsia="Arial Narrow" w:hAnsi="Arial" w:cs="Arial"/>
          <w:b w:val="0"/>
          <w:sz w:val="22"/>
          <w:szCs w:val="22"/>
          <w:lang w:val="en-CA"/>
        </w:rPr>
        <w:t xml:space="preserve"> racialized group</w:t>
      </w:r>
      <w:r>
        <w:rPr>
          <w:rFonts w:ascii="Arial" w:eastAsia="Arial Narrow" w:hAnsi="Arial" w:cs="Arial"/>
          <w:b w:val="0"/>
          <w:sz w:val="22"/>
          <w:szCs w:val="22"/>
          <w:lang w:val="en-CA"/>
        </w:rPr>
        <w:t>s</w:t>
      </w:r>
      <w:r w:rsidRPr="00433F13">
        <w:rPr>
          <w:rFonts w:ascii="Arial" w:eastAsia="Arial Narrow" w:hAnsi="Arial" w:cs="Arial"/>
          <w:b w:val="0"/>
          <w:sz w:val="22"/>
          <w:szCs w:val="22"/>
          <w:lang w:val="en-CA"/>
        </w:rPr>
        <w:t>, ethnicity, gender identity and other social or cultural background of individuals, the College can better monitor system patterns of health outcomes, access to care, and quality of service across different racial and ethnic communities. Collection of this data enables the College to support and guide practices that reduce disparities, improve healthcare equity, and influence systemic improvements to ensure care is provided in a fair and culturally competent manner.</w:t>
      </w:r>
    </w:p>
    <w:p w14:paraId="6CBF41FF" w14:textId="77777777" w:rsidR="00AF2A63" w:rsidRPr="00433F13" w:rsidRDefault="00AF2A63" w:rsidP="00AF2A63">
      <w:pPr>
        <w:pStyle w:val="PolicyandProcedureHeading"/>
        <w:spacing w:after="60" w:line="276" w:lineRule="auto"/>
        <w:jc w:val="left"/>
        <w:rPr>
          <w:rFonts w:ascii="Arial" w:eastAsia="Arial Narrow" w:hAnsi="Arial" w:cs="Arial"/>
          <w:b w:val="0"/>
          <w:bCs w:val="0"/>
          <w:sz w:val="22"/>
          <w:szCs w:val="22"/>
          <w:lang w:val="en-CA"/>
        </w:rPr>
      </w:pPr>
      <w:r w:rsidRPr="00433F13">
        <w:rPr>
          <w:rFonts w:ascii="Arial" w:eastAsia="Arial Narrow" w:hAnsi="Arial" w:cs="Arial"/>
          <w:sz w:val="22"/>
          <w:szCs w:val="22"/>
          <w:lang w:val="en-CA"/>
        </w:rPr>
        <w:t xml:space="preserve">Systems Level Data Standard and Partner Engagement:  </w:t>
      </w:r>
      <w:r w:rsidRPr="00433F13">
        <w:rPr>
          <w:rFonts w:ascii="Arial" w:eastAsia="Arial Narrow" w:hAnsi="Arial" w:cs="Arial"/>
          <w:b w:val="0"/>
          <w:bCs w:val="0"/>
          <w:sz w:val="22"/>
          <w:szCs w:val="22"/>
          <w:lang w:val="en-CA"/>
        </w:rPr>
        <w:t xml:space="preserve">The College uses the Canadian Institute for Health Information (CIHI) Health Human Resources Minimum Data Set (“HHR MDS”) data standard as a guide to collect the </w:t>
      </w:r>
      <w:r>
        <w:rPr>
          <w:rFonts w:ascii="Arial" w:eastAsia="Arial Narrow" w:hAnsi="Arial" w:cs="Arial"/>
          <w:b w:val="0"/>
          <w:bCs w:val="0"/>
          <w:sz w:val="22"/>
          <w:szCs w:val="22"/>
          <w:lang w:val="en-CA"/>
        </w:rPr>
        <w:t>sociodemographic</w:t>
      </w:r>
      <w:r w:rsidRPr="00433F13">
        <w:rPr>
          <w:rFonts w:ascii="Arial" w:eastAsia="Arial Narrow" w:hAnsi="Arial" w:cs="Arial"/>
          <w:b w:val="0"/>
          <w:bCs w:val="0"/>
          <w:sz w:val="22"/>
          <w:szCs w:val="22"/>
          <w:lang w:val="en-CA"/>
        </w:rPr>
        <w:t xml:space="preserve"> data. CIHI’s broad range of health system databases, measurements together with College reports and analysis are used to engage with system partners.  </w:t>
      </w:r>
    </w:p>
    <w:p w14:paraId="0053D7AA" w14:textId="77777777" w:rsidR="00AF2A63" w:rsidRPr="00433F1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Cs w:val="0"/>
          <w:sz w:val="22"/>
          <w:szCs w:val="22"/>
          <w:lang w:val="en-CA"/>
        </w:rPr>
        <w:t>Accurate and Ethical Data Collection:</w:t>
      </w:r>
      <w:r w:rsidRPr="00433F13">
        <w:rPr>
          <w:rFonts w:ascii="Arial" w:eastAsia="Arial Narrow" w:hAnsi="Arial" w:cs="Arial"/>
          <w:b w:val="0"/>
          <w:sz w:val="22"/>
          <w:szCs w:val="22"/>
          <w:lang w:val="en-CA"/>
        </w:rPr>
        <w:t xml:space="preserve">  The College is responsible to ensure that this data is collected accurately, ethically, and with respect for registrant privacy. Data collection processes comply with relevant laws and regulations, including those that protect individuals from discrimination and bias. Ongoing training and resources are provided to support the responsible, secure, and effective management of </w:t>
      </w:r>
      <w:r>
        <w:rPr>
          <w:rFonts w:ascii="Arial" w:eastAsia="Arial Narrow" w:hAnsi="Arial" w:cs="Arial"/>
          <w:b w:val="0"/>
          <w:sz w:val="22"/>
          <w:szCs w:val="22"/>
          <w:lang w:val="en-CA"/>
        </w:rPr>
        <w:t>sociodemographic</w:t>
      </w:r>
      <w:r w:rsidRPr="00433F13">
        <w:rPr>
          <w:rFonts w:ascii="Arial" w:eastAsia="Arial Narrow" w:hAnsi="Arial" w:cs="Arial"/>
          <w:b w:val="0"/>
          <w:sz w:val="22"/>
          <w:szCs w:val="22"/>
          <w:lang w:val="en-CA"/>
        </w:rPr>
        <w:t xml:space="preserve"> data.  </w:t>
      </w:r>
    </w:p>
    <w:p w14:paraId="0E7FE5B2" w14:textId="5B9B84C6" w:rsidR="00AF2A63" w:rsidRDefault="00AF2A63" w:rsidP="00AF2A63">
      <w:pPr>
        <w:spacing w:before="240" w:after="60" w:line="276" w:lineRule="auto"/>
        <w:rPr>
          <w:rFonts w:eastAsia="Arial Narrow"/>
        </w:rPr>
      </w:pPr>
      <w:r w:rsidRPr="004B29CD">
        <w:rPr>
          <w:rFonts w:eastAsia="Arial Narrow"/>
          <w:b/>
          <w:bCs/>
        </w:rPr>
        <w:t>Transparency and Public Trust:</w:t>
      </w:r>
      <w:r w:rsidRPr="00433F13">
        <w:rPr>
          <w:rFonts w:eastAsia="Arial Narrow"/>
        </w:rPr>
        <w:t xml:space="preserve"> The College uses aggregated data to inform evidence-based decisions, guide policy development, and advance accountability in occupational therapy delivery at a system level. </w:t>
      </w:r>
    </w:p>
    <w:p w14:paraId="6A9428B6" w14:textId="77777777" w:rsidR="006D65EC" w:rsidRPr="00AF2A63" w:rsidRDefault="00BE0218" w:rsidP="00AF2A63">
      <w:pPr>
        <w:pStyle w:val="Heading1"/>
      </w:pPr>
      <w:bookmarkStart w:id="8" w:name="Policy"/>
      <w:bookmarkEnd w:id="8"/>
      <w:r w:rsidRPr="00AF2A63">
        <w:t>Policy</w:t>
      </w:r>
    </w:p>
    <w:p w14:paraId="548E2E63" w14:textId="77777777" w:rsidR="00AF2A63" w:rsidRPr="00AF2A63" w:rsidRDefault="00AF2A63" w:rsidP="007334D1">
      <w:pPr>
        <w:pStyle w:val="Heading2"/>
        <w:rPr>
          <w:rFonts w:eastAsia="Arial Narrow"/>
        </w:rPr>
      </w:pPr>
      <w:r w:rsidRPr="00AF2A63">
        <w:rPr>
          <w:rFonts w:eastAsia="Arial Narrow"/>
        </w:rPr>
        <w:t xml:space="preserve">Data Types:  </w:t>
      </w:r>
    </w:p>
    <w:p w14:paraId="6D967802" w14:textId="77777777" w:rsidR="00AF2A63" w:rsidRPr="00433F13" w:rsidRDefault="00AF2A63" w:rsidP="00AF2A63">
      <w:pPr>
        <w:pStyle w:val="PolicyandProcedureHeading"/>
        <w:spacing w:after="60" w:line="276" w:lineRule="auto"/>
        <w:jc w:val="left"/>
        <w:rPr>
          <w:rFonts w:ascii="Arial" w:hAnsi="Arial" w:cs="Arial"/>
          <w:b w:val="0"/>
          <w:bCs w:val="0"/>
        </w:rPr>
      </w:pPr>
      <w:r w:rsidRPr="00433F13">
        <w:rPr>
          <w:rFonts w:ascii="Arial" w:hAnsi="Arial" w:cs="Arial"/>
          <w:sz w:val="22"/>
          <w:szCs w:val="22"/>
        </w:rPr>
        <w:t>Regulatory Data:</w:t>
      </w:r>
      <w:r w:rsidRPr="00433F13">
        <w:rPr>
          <w:rFonts w:ascii="Arial" w:hAnsi="Arial" w:cs="Arial"/>
          <w:b w:val="0"/>
          <w:bCs w:val="0"/>
        </w:rPr>
        <w:t xml:space="preserve">  In compliance with the Regulated Health Professions Act, 1991 and the Occupational Therapy Act, 1991, the College has an accountability to collect certain personal information in the interests of the public.   </w:t>
      </w:r>
    </w:p>
    <w:p w14:paraId="4086E215" w14:textId="77777777" w:rsidR="00AF2A63" w:rsidRPr="00433F13" w:rsidRDefault="00AF2A63" w:rsidP="00AF2A63">
      <w:pPr>
        <w:pStyle w:val="PolicyandProcedureHeading"/>
        <w:spacing w:after="60" w:line="276" w:lineRule="auto"/>
        <w:jc w:val="left"/>
        <w:rPr>
          <w:rFonts w:ascii="Arial" w:eastAsia="Arial Narrow" w:hAnsi="Arial" w:cs="Arial"/>
          <w:b w:val="0"/>
          <w:bCs w:val="0"/>
          <w:sz w:val="22"/>
          <w:szCs w:val="22"/>
          <w:lang w:val="en-CA"/>
        </w:rPr>
      </w:pPr>
      <w:r>
        <w:rPr>
          <w:rFonts w:ascii="Arial" w:eastAsia="Arial Narrow" w:hAnsi="Arial" w:cs="Arial"/>
          <w:sz w:val="22"/>
          <w:szCs w:val="22"/>
          <w:lang w:val="en-CA"/>
        </w:rPr>
        <w:t>Sociodemographic</w:t>
      </w:r>
      <w:r w:rsidRPr="00433F13">
        <w:rPr>
          <w:rFonts w:ascii="Arial" w:eastAsia="Arial Narrow" w:hAnsi="Arial" w:cs="Arial"/>
          <w:sz w:val="22"/>
          <w:szCs w:val="22"/>
          <w:lang w:val="en-CA"/>
        </w:rPr>
        <w:t xml:space="preserve"> Data:</w:t>
      </w:r>
      <w:r w:rsidRPr="00433F13">
        <w:rPr>
          <w:rFonts w:ascii="Arial" w:eastAsia="Arial Narrow" w:hAnsi="Arial" w:cs="Arial"/>
          <w:b w:val="0"/>
          <w:bCs w:val="0"/>
          <w:sz w:val="22"/>
          <w:szCs w:val="22"/>
          <w:lang w:val="en-CA"/>
        </w:rPr>
        <w:t xml:space="preserve">   Data related to </w:t>
      </w:r>
      <w:r w:rsidRPr="00433F13">
        <w:rPr>
          <w:rFonts w:ascii="Arial" w:hAnsi="Arial" w:cs="Arial"/>
          <w:b w:val="0"/>
          <w:bCs w:val="0"/>
          <w:sz w:val="22"/>
          <w:szCs w:val="22"/>
        </w:rPr>
        <w:t>racialized group, ethnicity, gender identity and cultural background does not appear on the public register.</w:t>
      </w:r>
    </w:p>
    <w:p w14:paraId="119C1520" w14:textId="77777777" w:rsidR="00AF2A63" w:rsidRPr="00433F13" w:rsidRDefault="00AF2A63" w:rsidP="00AF2A63">
      <w:pPr>
        <w:pStyle w:val="PolicyandProcedureHeading"/>
        <w:spacing w:after="60" w:line="276" w:lineRule="auto"/>
        <w:jc w:val="left"/>
        <w:rPr>
          <w:rFonts w:ascii="Arial" w:eastAsia="Arial Narrow" w:hAnsi="Arial" w:cs="Arial"/>
          <w:b w:val="0"/>
          <w:sz w:val="22"/>
          <w:szCs w:val="22"/>
          <w:lang w:val="en-CA"/>
        </w:rPr>
      </w:pPr>
      <w:r>
        <w:rPr>
          <w:rFonts w:ascii="Arial" w:eastAsia="Arial Narrow" w:hAnsi="Arial" w:cs="Arial"/>
          <w:b w:val="0"/>
          <w:bCs w:val="0"/>
          <w:sz w:val="22"/>
          <w:szCs w:val="22"/>
        </w:rPr>
        <w:t>Collected sociodemographic</w:t>
      </w:r>
      <w:r w:rsidRPr="00433F13">
        <w:rPr>
          <w:rFonts w:ascii="Arial" w:eastAsia="Arial Narrow" w:hAnsi="Arial" w:cs="Arial"/>
          <w:b w:val="0"/>
          <w:bCs w:val="0"/>
          <w:sz w:val="22"/>
          <w:szCs w:val="22"/>
        </w:rPr>
        <w:t xml:space="preserve"> data is used</w:t>
      </w:r>
      <w:r>
        <w:rPr>
          <w:rFonts w:ascii="Arial" w:eastAsia="Arial Narrow" w:hAnsi="Arial" w:cs="Arial"/>
          <w:b w:val="0"/>
          <w:bCs w:val="0"/>
          <w:sz w:val="22"/>
          <w:szCs w:val="22"/>
        </w:rPr>
        <w:t xml:space="preserve"> to </w:t>
      </w:r>
      <w:r w:rsidRPr="00433F13">
        <w:rPr>
          <w:rFonts w:ascii="Arial" w:eastAsia="Arial Narrow" w:hAnsi="Arial" w:cs="Arial"/>
          <w:b w:val="0"/>
          <w:bCs w:val="0"/>
          <w:sz w:val="22"/>
          <w:szCs w:val="22"/>
        </w:rPr>
        <w:t xml:space="preserve">reduce or eliminate systemic inequity, marginalization and other health system barriers.  </w:t>
      </w:r>
      <w:r>
        <w:rPr>
          <w:rFonts w:ascii="Arial" w:eastAsia="Arial Narrow" w:hAnsi="Arial" w:cs="Arial"/>
          <w:b w:val="0"/>
          <w:bCs w:val="0"/>
          <w:sz w:val="22"/>
          <w:szCs w:val="22"/>
        </w:rPr>
        <w:t xml:space="preserve">The collection of </w:t>
      </w:r>
      <w:r>
        <w:rPr>
          <w:rFonts w:ascii="Arial" w:eastAsia="Arial Narrow" w:hAnsi="Arial" w:cs="Arial"/>
          <w:b w:val="0"/>
          <w:bCs w:val="0"/>
          <w:sz w:val="22"/>
          <w:szCs w:val="22"/>
          <w:lang w:val="en-CA"/>
        </w:rPr>
        <w:t>sociodemographic</w:t>
      </w:r>
      <w:r w:rsidRPr="00433F13">
        <w:rPr>
          <w:rFonts w:ascii="Arial" w:eastAsia="Arial Narrow" w:hAnsi="Arial" w:cs="Arial"/>
          <w:b w:val="0"/>
          <w:bCs w:val="0"/>
          <w:sz w:val="22"/>
          <w:szCs w:val="22"/>
          <w:lang w:val="en-CA"/>
        </w:rPr>
        <w:t xml:space="preserve"> data </w:t>
      </w:r>
      <w:r>
        <w:rPr>
          <w:rFonts w:ascii="Arial" w:eastAsia="Arial Narrow" w:hAnsi="Arial" w:cs="Arial"/>
          <w:b w:val="0"/>
          <w:bCs w:val="0"/>
          <w:sz w:val="22"/>
          <w:szCs w:val="22"/>
          <w:lang w:val="en-CA"/>
        </w:rPr>
        <w:t>provides</w:t>
      </w:r>
      <w:r w:rsidRPr="00433F13">
        <w:rPr>
          <w:rFonts w:ascii="Arial" w:eastAsia="Arial Narrow" w:hAnsi="Arial" w:cs="Arial"/>
          <w:b w:val="0"/>
          <w:bCs w:val="0"/>
          <w:sz w:val="22"/>
          <w:szCs w:val="22"/>
          <w:lang w:val="en-CA"/>
        </w:rPr>
        <w:t xml:space="preserve"> insight into the degree to which the diversity of the Ontario public is reflected in College registration.</w:t>
      </w:r>
      <w:r w:rsidRPr="00433F13">
        <w:rPr>
          <w:rFonts w:ascii="Arial" w:hAnsi="Arial" w:cs="Arial"/>
        </w:rPr>
        <w:t xml:space="preserve"> </w:t>
      </w:r>
      <w:r w:rsidRPr="00433F13">
        <w:rPr>
          <w:rFonts w:ascii="Arial" w:eastAsia="Arial Narrow" w:hAnsi="Arial" w:cs="Arial"/>
          <w:b w:val="0"/>
          <w:bCs w:val="0"/>
          <w:sz w:val="22"/>
          <w:szCs w:val="22"/>
          <w:lang w:val="en-CA"/>
        </w:rPr>
        <w:t>The College aims to promote transparency, health equity, and support evidence-based decision-making while safeguarding individual privacy and confidentiality.</w:t>
      </w:r>
    </w:p>
    <w:p w14:paraId="4A837032" w14:textId="77777777" w:rsidR="00AF2A63" w:rsidRDefault="00AF2A63">
      <w:pPr>
        <w:rPr>
          <w:rFonts w:eastAsia="Arial Narrow"/>
          <w:b/>
          <w:bCs/>
          <w:color w:val="0070C0"/>
          <w:spacing w:val="-5"/>
          <w:lang w:val="en-CA"/>
        </w:rPr>
      </w:pPr>
      <w:r>
        <w:br w:type="page"/>
      </w:r>
    </w:p>
    <w:p w14:paraId="2BE329C5" w14:textId="03E6DB9B" w:rsidR="00AF2A63" w:rsidRPr="00AF2A63" w:rsidRDefault="00AF2A63" w:rsidP="007334D1">
      <w:pPr>
        <w:pStyle w:val="Heading2"/>
        <w:rPr>
          <w:rFonts w:eastAsia="Arial Narrow"/>
          <w:color w:val="005EB8"/>
        </w:rPr>
      </w:pPr>
      <w:r w:rsidRPr="00433F13">
        <w:rPr>
          <w:rFonts w:eastAsia="Arial Narrow"/>
        </w:rPr>
        <w:lastRenderedPageBreak/>
        <w:t xml:space="preserve">Required </w:t>
      </w:r>
      <w:r>
        <w:rPr>
          <w:rFonts w:eastAsia="Arial Narrow"/>
        </w:rPr>
        <w:t>Sociodemographic D</w:t>
      </w:r>
      <w:r w:rsidRPr="00433F13">
        <w:rPr>
          <w:rFonts w:eastAsia="Arial Narrow"/>
        </w:rPr>
        <w:t xml:space="preserve">ata </w:t>
      </w:r>
      <w:bookmarkStart w:id="9" w:name="_Hlk183525376"/>
      <w:r w:rsidRPr="00433F13">
        <w:rPr>
          <w:rFonts w:eastAsia="Arial Narrow"/>
        </w:rPr>
        <w:t>Collection</w:t>
      </w:r>
      <w:bookmarkEnd w:id="9"/>
      <w:r w:rsidRPr="00433F13">
        <w:rPr>
          <w:rFonts w:eastAsia="Arial Narrow"/>
        </w:rPr>
        <w:t xml:space="preserve">: </w:t>
      </w:r>
    </w:p>
    <w:p w14:paraId="44C6266F" w14:textId="77777777" w:rsidR="00AF2A63" w:rsidRPr="00AF2A63" w:rsidRDefault="00AF2A63" w:rsidP="00AF2A63">
      <w:pPr>
        <w:pStyle w:val="NormalWeb"/>
        <w:rPr>
          <w:rFonts w:ascii="Arial" w:hAnsi="Arial" w:cs="Arial"/>
          <w:sz w:val="22"/>
          <w:szCs w:val="22"/>
        </w:rPr>
      </w:pPr>
      <w:r w:rsidRPr="00AF2A63">
        <w:rPr>
          <w:rFonts w:ascii="Arial" w:hAnsi="Arial" w:cs="Arial"/>
          <w:sz w:val="22"/>
          <w:szCs w:val="22"/>
        </w:rPr>
        <w:t xml:space="preserve">The </w:t>
      </w:r>
      <w:r w:rsidRPr="00AF2A63">
        <w:rPr>
          <w:rFonts w:ascii="Arial" w:hAnsi="Arial" w:cs="Arial"/>
          <w:i/>
          <w:iCs/>
          <w:sz w:val="22"/>
          <w:szCs w:val="22"/>
        </w:rPr>
        <w:t>Regulated Health Professions Act, 1991</w:t>
      </w:r>
      <w:r w:rsidRPr="00AF2A63">
        <w:rPr>
          <w:rFonts w:ascii="Arial" w:hAnsi="Arial" w:cs="Arial"/>
          <w:sz w:val="22"/>
          <w:szCs w:val="22"/>
        </w:rPr>
        <w:t xml:space="preserve"> and the College bylaws specify what information about each occupational therapist is to be kept and made available to the public. Find a description of what information is and is not available on the Public Register at  </w:t>
      </w:r>
    </w:p>
    <w:p w14:paraId="00BD4F30" w14:textId="77777777" w:rsidR="00AF2A63" w:rsidRPr="00433F13" w:rsidRDefault="00AF2A63" w:rsidP="00AF2A63">
      <w:pPr>
        <w:pStyle w:val="NormalWeb"/>
        <w:rPr>
          <w:rFonts w:ascii="Arial" w:hAnsi="Arial" w:cs="Arial"/>
        </w:rPr>
      </w:pPr>
      <w:hyperlink r:id="rId7" w:history="1">
        <w:r w:rsidRPr="00592350">
          <w:rPr>
            <w:rStyle w:val="Hyperlink"/>
            <w:rFonts w:ascii="Arial" w:hAnsi="Arial" w:cs="Arial"/>
          </w:rPr>
          <w:t>https://www.coto.org/clientsandthepublic/how-to-find-an-ot</w:t>
        </w:r>
      </w:hyperlink>
      <w:r w:rsidRPr="00433F13">
        <w:rPr>
          <w:rFonts w:ascii="Arial" w:hAnsi="Arial" w:cs="Arial"/>
        </w:rPr>
        <w:t>.</w:t>
      </w:r>
    </w:p>
    <w:p w14:paraId="79939643" w14:textId="77777777" w:rsidR="00AF2A63" w:rsidRDefault="00AF2A63" w:rsidP="007334D1">
      <w:pPr>
        <w:pStyle w:val="Heading2"/>
        <w:rPr>
          <w:rFonts w:eastAsia="Arial Narrow"/>
        </w:rPr>
      </w:pPr>
      <w:r>
        <w:rPr>
          <w:rFonts w:eastAsia="Arial Narrow"/>
        </w:rPr>
        <w:t>Data Collection</w:t>
      </w:r>
      <w:r w:rsidRPr="00433F13">
        <w:rPr>
          <w:rFonts w:eastAsia="Arial Narrow"/>
        </w:rPr>
        <w:t xml:space="preserve">:   </w:t>
      </w:r>
    </w:p>
    <w:p w14:paraId="2DF88087" w14:textId="77777777" w:rsidR="00AF2A63" w:rsidRDefault="00AF2A63" w:rsidP="00AF2A63">
      <w:pPr>
        <w:pStyle w:val="PolicyandProcedureHeading"/>
        <w:spacing w:after="60" w:line="276" w:lineRule="auto"/>
        <w:jc w:val="left"/>
        <w:rPr>
          <w:rFonts w:ascii="Arial" w:eastAsia="Arial Narrow" w:hAnsi="Arial" w:cs="Arial"/>
          <w:b w:val="0"/>
          <w:sz w:val="22"/>
          <w:szCs w:val="22"/>
          <w:lang w:val="en-CA"/>
        </w:rPr>
      </w:pPr>
      <w:r w:rsidRPr="00433F13">
        <w:rPr>
          <w:rFonts w:ascii="Arial" w:eastAsia="Arial Narrow" w:hAnsi="Arial" w:cs="Arial"/>
          <w:b w:val="0"/>
          <w:bCs w:val="0"/>
          <w:sz w:val="22"/>
          <w:szCs w:val="22"/>
          <w:lang w:val="en-CA"/>
        </w:rPr>
        <w:t>The College uses the Canadian Institute for Health Information (CIHI) Health Human Resources Minimum Data Set (“HHR MDS”) data standard</w:t>
      </w:r>
      <w:r>
        <w:rPr>
          <w:rStyle w:val="FootnoteReference"/>
          <w:rFonts w:ascii="Arial" w:eastAsia="Arial Narrow" w:hAnsi="Arial" w:cs="Arial"/>
          <w:b w:val="0"/>
          <w:bCs w:val="0"/>
          <w:sz w:val="22"/>
          <w:szCs w:val="22"/>
          <w:lang w:val="en-CA"/>
        </w:rPr>
        <w:footnoteReference w:id="7"/>
      </w:r>
      <w:r w:rsidRPr="00433F13">
        <w:rPr>
          <w:rFonts w:ascii="Arial" w:eastAsia="Arial Narrow" w:hAnsi="Arial" w:cs="Arial"/>
          <w:b w:val="0"/>
          <w:bCs w:val="0"/>
          <w:sz w:val="22"/>
          <w:szCs w:val="22"/>
          <w:lang w:val="en-CA"/>
        </w:rPr>
        <w:t xml:space="preserve"> as a guide to collect the </w:t>
      </w:r>
      <w:r>
        <w:rPr>
          <w:rFonts w:ascii="Arial" w:eastAsia="Arial Narrow" w:hAnsi="Arial" w:cs="Arial"/>
          <w:b w:val="0"/>
          <w:bCs w:val="0"/>
          <w:sz w:val="22"/>
          <w:szCs w:val="22"/>
          <w:lang w:val="en-CA"/>
        </w:rPr>
        <w:t>sociodemographic</w:t>
      </w:r>
      <w:r w:rsidRPr="00433F13">
        <w:rPr>
          <w:rFonts w:ascii="Arial" w:eastAsia="Arial Narrow" w:hAnsi="Arial" w:cs="Arial"/>
          <w:b w:val="0"/>
          <w:bCs w:val="0"/>
          <w:sz w:val="22"/>
          <w:szCs w:val="22"/>
          <w:lang w:val="en-CA"/>
        </w:rPr>
        <w:t xml:space="preserve"> data</w:t>
      </w:r>
      <w:r>
        <w:rPr>
          <w:rFonts w:ascii="Arial" w:eastAsia="Arial Narrow" w:hAnsi="Arial" w:cs="Arial"/>
          <w:b w:val="0"/>
          <w:bCs w:val="0"/>
          <w:sz w:val="22"/>
          <w:szCs w:val="22"/>
          <w:lang w:val="en-CA"/>
        </w:rPr>
        <w:t xml:space="preserve"> including Indigenous Identity data-see Appendix 1 for Indigenous Identity Data Standard and Appendix 2 for Racialized Group Data</w:t>
      </w:r>
      <w:r w:rsidRPr="00433F13">
        <w:rPr>
          <w:rFonts w:ascii="Arial" w:eastAsia="Arial Narrow" w:hAnsi="Arial" w:cs="Arial"/>
          <w:b w:val="0"/>
          <w:bCs w:val="0"/>
          <w:sz w:val="22"/>
          <w:szCs w:val="22"/>
          <w:lang w:val="en-CA"/>
        </w:rPr>
        <w:t>.</w:t>
      </w:r>
    </w:p>
    <w:p w14:paraId="3167878C" w14:textId="77777777" w:rsidR="00AF2A63" w:rsidRPr="00433F13" w:rsidRDefault="00AF2A63" w:rsidP="00AF2A63">
      <w:pPr>
        <w:pStyle w:val="PolicyandProcedureHeading"/>
        <w:spacing w:after="60" w:line="276" w:lineRule="auto"/>
        <w:jc w:val="left"/>
        <w:rPr>
          <w:rFonts w:ascii="Arial" w:eastAsia="Calibri" w:hAnsi="Arial" w:cs="Arial"/>
          <w:b w:val="0"/>
          <w:bCs w:val="0"/>
          <w:color w:val="000000"/>
          <w:sz w:val="22"/>
          <w:szCs w:val="22"/>
        </w:rPr>
      </w:pPr>
      <w:r w:rsidRPr="00433F13">
        <w:rPr>
          <w:rFonts w:ascii="Arial" w:eastAsia="Arial Narrow" w:hAnsi="Arial" w:cs="Arial"/>
          <w:b w:val="0"/>
          <w:sz w:val="22"/>
          <w:szCs w:val="22"/>
          <w:lang w:val="en-CA"/>
        </w:rPr>
        <w:t xml:space="preserve">When collecting </w:t>
      </w:r>
      <w:r>
        <w:rPr>
          <w:rFonts w:ascii="Arial" w:eastAsia="Arial Narrow" w:hAnsi="Arial" w:cs="Arial"/>
          <w:b w:val="0"/>
          <w:sz w:val="22"/>
          <w:szCs w:val="22"/>
          <w:lang w:val="en-CA"/>
        </w:rPr>
        <w:t>sociodemographic</w:t>
      </w:r>
      <w:r w:rsidRPr="00433F13">
        <w:rPr>
          <w:rFonts w:ascii="Arial" w:eastAsia="Arial Narrow" w:hAnsi="Arial" w:cs="Arial"/>
          <w:b w:val="0"/>
          <w:sz w:val="22"/>
          <w:szCs w:val="22"/>
          <w:lang w:val="en-CA"/>
        </w:rPr>
        <w:t xml:space="preserve"> data, </w:t>
      </w:r>
      <w:r w:rsidRPr="00433F13">
        <w:rPr>
          <w:rFonts w:ascii="Arial" w:eastAsia="Calibri" w:hAnsi="Arial" w:cs="Arial"/>
          <w:b w:val="0"/>
          <w:bCs w:val="0"/>
          <w:color w:val="000000"/>
          <w:sz w:val="22"/>
          <w:szCs w:val="22"/>
        </w:rPr>
        <w:t>care will be taken to ensure:</w:t>
      </w:r>
    </w:p>
    <w:p w14:paraId="6BC7CACB" w14:textId="77777777" w:rsidR="00AF2A63" w:rsidRPr="00A831AE" w:rsidRDefault="00AF2A63" w:rsidP="00AF2A63">
      <w:pPr>
        <w:pStyle w:val="ListParagraph"/>
        <w:widowControl/>
        <w:numPr>
          <w:ilvl w:val="0"/>
          <w:numId w:val="5"/>
        </w:numPr>
        <w:adjustRightInd w:val="0"/>
        <w:spacing w:before="240" w:after="60" w:line="276" w:lineRule="auto"/>
        <w:contextualSpacing/>
        <w:rPr>
          <w:rFonts w:eastAsia="Calibri"/>
          <w:bCs/>
          <w:color w:val="000000"/>
        </w:rPr>
      </w:pPr>
      <w:r w:rsidRPr="00A831AE">
        <w:rPr>
          <w:rFonts w:eastAsia="Calibri"/>
          <w:bCs/>
          <w:color w:val="000000"/>
        </w:rPr>
        <w:t>The collection of sociodemographic data is integrated into existing and trusted workflows to minimize disruption and enhance efficiency.  Data collection prompts are incorporated into the Data registration application and registration renewal forms and registration processes to facilitate systemic data capture.</w:t>
      </w:r>
    </w:p>
    <w:p w14:paraId="6ABBABC7" w14:textId="77777777" w:rsidR="00AF2A63" w:rsidRPr="00433F13" w:rsidRDefault="00AF2A63" w:rsidP="00AF2A63">
      <w:pPr>
        <w:widowControl/>
        <w:numPr>
          <w:ilvl w:val="0"/>
          <w:numId w:val="5"/>
        </w:numPr>
        <w:adjustRightInd w:val="0"/>
        <w:spacing w:before="240" w:after="60" w:line="276" w:lineRule="auto"/>
        <w:rPr>
          <w:rFonts w:eastAsia="Calibri"/>
          <w:bCs/>
          <w:color w:val="000000"/>
        </w:rPr>
      </w:pPr>
      <w:r w:rsidRPr="00433F13">
        <w:rPr>
          <w:rFonts w:eastAsia="Calibri"/>
          <w:bCs/>
          <w:color w:val="000000"/>
        </w:rPr>
        <w:t xml:space="preserve">Registrants know that provision of this information is optional, and each registrant can choose not to provide the information, without any repercussions. </w:t>
      </w:r>
    </w:p>
    <w:p w14:paraId="3CB9EFFF" w14:textId="77777777" w:rsidR="00AF2A63" w:rsidRPr="00433F13" w:rsidRDefault="00AF2A63" w:rsidP="00AF2A63">
      <w:pPr>
        <w:widowControl/>
        <w:numPr>
          <w:ilvl w:val="0"/>
          <w:numId w:val="5"/>
        </w:numPr>
        <w:adjustRightInd w:val="0"/>
        <w:spacing w:before="240" w:after="60" w:line="276" w:lineRule="auto"/>
        <w:rPr>
          <w:rFonts w:eastAsia="Calibri"/>
          <w:bCs/>
          <w:color w:val="000000"/>
        </w:rPr>
      </w:pPr>
      <w:r w:rsidRPr="00433F13">
        <w:rPr>
          <w:rFonts w:eastAsia="Calibri"/>
          <w:bCs/>
          <w:color w:val="000000"/>
        </w:rPr>
        <w:t xml:space="preserve">Information is collected in ways that are safe, respectful, responsible and do not cause harm (e.g. by providing resources on this topic and developing an FAQ). </w:t>
      </w:r>
    </w:p>
    <w:p w14:paraId="4438E965" w14:textId="77777777" w:rsidR="00AF2A63" w:rsidRPr="00433F13" w:rsidRDefault="00AF2A63" w:rsidP="00AF2A63">
      <w:pPr>
        <w:widowControl/>
        <w:numPr>
          <w:ilvl w:val="0"/>
          <w:numId w:val="5"/>
        </w:numPr>
        <w:adjustRightInd w:val="0"/>
        <w:spacing w:before="240" w:after="60" w:line="276" w:lineRule="auto"/>
        <w:rPr>
          <w:rFonts w:eastAsia="Calibri"/>
          <w:bCs/>
          <w:color w:val="000000"/>
        </w:rPr>
      </w:pPr>
      <w:r w:rsidRPr="00433F13">
        <w:rPr>
          <w:rFonts w:eastAsia="Calibri"/>
          <w:bCs/>
          <w:color w:val="000000"/>
        </w:rPr>
        <w:t xml:space="preserve">There is appropriate and meaningful engagement with registrants. </w:t>
      </w:r>
    </w:p>
    <w:p w14:paraId="565EA6C6" w14:textId="77777777" w:rsidR="00AF2A63" w:rsidRPr="00433F13" w:rsidRDefault="00AF2A63" w:rsidP="00AF2A63">
      <w:pPr>
        <w:widowControl/>
        <w:numPr>
          <w:ilvl w:val="0"/>
          <w:numId w:val="5"/>
        </w:numPr>
        <w:adjustRightInd w:val="0"/>
        <w:spacing w:before="240" w:after="60" w:line="276" w:lineRule="auto"/>
        <w:rPr>
          <w:rFonts w:eastAsia="Calibri"/>
          <w:bCs/>
          <w:color w:val="000000"/>
        </w:rPr>
      </w:pPr>
      <w:r w:rsidRPr="00433F13">
        <w:rPr>
          <w:rFonts w:eastAsia="Calibri"/>
          <w:bCs/>
          <w:color w:val="000000"/>
        </w:rPr>
        <w:t xml:space="preserve">There is transparency and accountability by providing clear information on how the data will be gathered, stored, used and managed. </w:t>
      </w:r>
    </w:p>
    <w:p w14:paraId="0830E707" w14:textId="77777777" w:rsidR="00AF2A63" w:rsidRPr="00433F13" w:rsidRDefault="00AF2A63" w:rsidP="00AF2A63">
      <w:pPr>
        <w:widowControl/>
        <w:numPr>
          <w:ilvl w:val="0"/>
          <w:numId w:val="5"/>
        </w:numPr>
        <w:adjustRightInd w:val="0"/>
        <w:spacing w:before="240" w:after="60" w:line="276" w:lineRule="auto"/>
        <w:rPr>
          <w:rFonts w:eastAsia="Calibri"/>
          <w:bCs/>
          <w:color w:val="000000"/>
        </w:rPr>
      </w:pPr>
      <w:r w:rsidRPr="00433F13">
        <w:rPr>
          <w:rFonts w:eastAsia="Calibri"/>
          <w:bCs/>
          <w:color w:val="000000"/>
        </w:rPr>
        <w:t>There is adequate explanation of the benefits and risk</w:t>
      </w:r>
      <w:r>
        <w:rPr>
          <w:rFonts w:eastAsia="Calibri"/>
          <w:bCs/>
          <w:color w:val="000000"/>
        </w:rPr>
        <w:t>s</w:t>
      </w:r>
      <w:r w:rsidRPr="00433F13">
        <w:rPr>
          <w:rFonts w:eastAsia="Calibri"/>
          <w:bCs/>
          <w:color w:val="000000"/>
        </w:rPr>
        <w:t>, if any, of collecting this information.</w:t>
      </w:r>
    </w:p>
    <w:p w14:paraId="571BBD00" w14:textId="77777777" w:rsidR="00AF2A63" w:rsidRPr="00433F13" w:rsidRDefault="00AF2A63" w:rsidP="00AF2A63">
      <w:pPr>
        <w:pStyle w:val="ListParagraph"/>
        <w:widowControl/>
        <w:numPr>
          <w:ilvl w:val="0"/>
          <w:numId w:val="5"/>
        </w:numPr>
        <w:adjustRightInd w:val="0"/>
        <w:spacing w:before="240" w:after="60" w:line="276" w:lineRule="auto"/>
        <w:rPr>
          <w:rFonts w:eastAsia="Calibri"/>
          <w:bCs/>
          <w:color w:val="000000"/>
        </w:rPr>
      </w:pPr>
      <w:r w:rsidRPr="00433F13">
        <w:rPr>
          <w:rFonts w:eastAsia="Calibri"/>
          <w:bCs/>
          <w:color w:val="000000"/>
        </w:rPr>
        <w:t xml:space="preserve">Each registrant can choose not to answer any of the </w:t>
      </w:r>
      <w:r>
        <w:rPr>
          <w:rFonts w:eastAsia="Calibri"/>
          <w:bCs/>
          <w:color w:val="000000"/>
        </w:rPr>
        <w:t>sociodemographic</w:t>
      </w:r>
      <w:r w:rsidRPr="00433F13">
        <w:rPr>
          <w:rFonts w:eastAsia="Calibri"/>
          <w:bCs/>
          <w:color w:val="000000"/>
        </w:rPr>
        <w:t xml:space="preserve"> questions and </w:t>
      </w:r>
      <w:r>
        <w:rPr>
          <w:rFonts w:eastAsia="Calibri"/>
          <w:bCs/>
          <w:color w:val="000000"/>
        </w:rPr>
        <w:t xml:space="preserve">still </w:t>
      </w:r>
      <w:r w:rsidRPr="00433F13">
        <w:rPr>
          <w:rFonts w:eastAsia="Calibri"/>
          <w:bCs/>
          <w:color w:val="000000"/>
        </w:rPr>
        <w:t>continue to complete the renewal registration process.</w:t>
      </w:r>
    </w:p>
    <w:p w14:paraId="1A1F48BE" w14:textId="3DA41B48" w:rsidR="00EF0C9D" w:rsidRPr="00AF2A63" w:rsidRDefault="00AF2A63" w:rsidP="00AF2A63">
      <w:pPr>
        <w:pStyle w:val="ListParagraph"/>
        <w:widowControl/>
        <w:numPr>
          <w:ilvl w:val="0"/>
          <w:numId w:val="5"/>
        </w:numPr>
        <w:adjustRightInd w:val="0"/>
        <w:spacing w:before="240" w:after="60" w:line="276" w:lineRule="auto"/>
        <w:rPr>
          <w:rFonts w:eastAsia="Calibri"/>
          <w:bCs/>
          <w:color w:val="000000"/>
        </w:rPr>
      </w:pPr>
      <w:r w:rsidRPr="00433F13">
        <w:rPr>
          <w:rFonts w:eastAsia="Calibri"/>
          <w:bCs/>
          <w:color w:val="000000"/>
        </w:rPr>
        <w:t>No program, service or benefit will be withheld if registrants do not answer the questions</w:t>
      </w:r>
      <w:r>
        <w:rPr>
          <w:rFonts w:eastAsia="Calibri"/>
          <w:bCs/>
          <w:color w:val="000000"/>
        </w:rPr>
        <w:t>.</w:t>
      </w:r>
    </w:p>
    <w:p w14:paraId="10454660" w14:textId="77777777" w:rsidR="00AF2A63" w:rsidRPr="00433F13" w:rsidRDefault="00AF2A63" w:rsidP="007334D1">
      <w:pPr>
        <w:pStyle w:val="Heading2"/>
        <w:rPr>
          <w:rFonts w:eastAsia="Calibri"/>
        </w:rPr>
      </w:pPr>
      <w:r w:rsidRPr="00433F13">
        <w:rPr>
          <w:rFonts w:eastAsia="Calibri"/>
        </w:rPr>
        <w:t>Storage and Management</w:t>
      </w:r>
    </w:p>
    <w:p w14:paraId="4CA9949C" w14:textId="77777777" w:rsidR="00AF2A63" w:rsidRPr="00433F13" w:rsidRDefault="00AF2A63" w:rsidP="00AF2A63">
      <w:pPr>
        <w:pStyle w:val="ListParagraph"/>
        <w:widowControl/>
        <w:numPr>
          <w:ilvl w:val="0"/>
          <w:numId w:val="7"/>
        </w:numPr>
        <w:adjustRightInd w:val="0"/>
        <w:spacing w:before="240" w:after="60" w:line="276" w:lineRule="auto"/>
        <w:ind w:left="425" w:hanging="425"/>
        <w:rPr>
          <w:rFonts w:eastAsia="Calibri"/>
          <w:bCs/>
          <w:color w:val="000000"/>
        </w:rPr>
      </w:pPr>
      <w:r w:rsidRPr="00433F13">
        <w:rPr>
          <w:rFonts w:eastAsia="Calibri"/>
          <w:bCs/>
          <w:color w:val="000000"/>
        </w:rPr>
        <w:lastRenderedPageBreak/>
        <w:t>Data is stored in a secure system and access will be limited to a small number of College staff.</w:t>
      </w:r>
    </w:p>
    <w:p w14:paraId="20B7064E" w14:textId="77777777" w:rsidR="00AF2A63" w:rsidRPr="00433F13" w:rsidRDefault="00AF2A63" w:rsidP="00AF2A63">
      <w:pPr>
        <w:pStyle w:val="ListParagraph"/>
        <w:widowControl/>
        <w:numPr>
          <w:ilvl w:val="0"/>
          <w:numId w:val="7"/>
        </w:numPr>
        <w:adjustRightInd w:val="0"/>
        <w:spacing w:before="240" w:after="60" w:line="276" w:lineRule="auto"/>
        <w:ind w:left="425" w:hanging="425"/>
        <w:rPr>
          <w:rFonts w:eastAsia="Calibri"/>
          <w:bCs/>
          <w:color w:val="000000"/>
        </w:rPr>
      </w:pPr>
      <w:r w:rsidRPr="00433F13">
        <w:rPr>
          <w:rFonts w:eastAsia="Calibri"/>
          <w:bCs/>
          <w:color w:val="000000"/>
        </w:rPr>
        <w:t>Data provided by each registrant will be kept confidential.</w:t>
      </w:r>
    </w:p>
    <w:p w14:paraId="2879ABD0" w14:textId="77777777" w:rsidR="00AF2A63" w:rsidRPr="00433F13" w:rsidRDefault="00AF2A63" w:rsidP="00AF2A63">
      <w:pPr>
        <w:pStyle w:val="ListParagraph"/>
        <w:widowControl/>
        <w:numPr>
          <w:ilvl w:val="0"/>
          <w:numId w:val="7"/>
        </w:numPr>
        <w:adjustRightInd w:val="0"/>
        <w:spacing w:before="240" w:after="60" w:line="276" w:lineRule="auto"/>
        <w:ind w:left="425" w:hanging="425"/>
        <w:rPr>
          <w:rFonts w:eastAsia="Calibri"/>
          <w:bCs/>
          <w:color w:val="000000"/>
        </w:rPr>
      </w:pPr>
      <w:r w:rsidRPr="00433F13">
        <w:rPr>
          <w:rFonts w:eastAsia="Calibri"/>
          <w:bCs/>
          <w:color w:val="000000"/>
        </w:rPr>
        <w:t xml:space="preserve">Each registrant can withdraw their consent about additional </w:t>
      </w:r>
      <w:r>
        <w:rPr>
          <w:rFonts w:eastAsia="Calibri"/>
          <w:bCs/>
          <w:color w:val="000000"/>
        </w:rPr>
        <w:t>sociodemographic</w:t>
      </w:r>
      <w:r w:rsidRPr="00433F13">
        <w:rPr>
          <w:rFonts w:eastAsia="Calibri"/>
          <w:bCs/>
          <w:color w:val="000000"/>
        </w:rPr>
        <w:t xml:space="preserve"> data and request that the College remove or stop using their information at any time.</w:t>
      </w:r>
    </w:p>
    <w:p w14:paraId="5EC11D5B" w14:textId="77777777" w:rsidR="00AF2A63" w:rsidRPr="00433F13" w:rsidRDefault="00AF2A63" w:rsidP="00AF2A63">
      <w:pPr>
        <w:pStyle w:val="ListParagraph"/>
        <w:widowControl/>
        <w:numPr>
          <w:ilvl w:val="0"/>
          <w:numId w:val="7"/>
        </w:numPr>
        <w:adjustRightInd w:val="0"/>
        <w:spacing w:before="240" w:after="60" w:line="276" w:lineRule="auto"/>
        <w:ind w:left="425" w:hanging="425"/>
        <w:rPr>
          <w:rFonts w:eastAsia="Calibri"/>
          <w:bCs/>
          <w:color w:val="000000"/>
        </w:rPr>
      </w:pPr>
      <w:r w:rsidRPr="00433F13">
        <w:rPr>
          <w:rFonts w:eastAsia="Calibri"/>
          <w:bCs/>
          <w:color w:val="000000"/>
        </w:rPr>
        <w:t xml:space="preserve">Registrants will not be able to be identified by the data they choose to submit because the data will be reported aggregately. </w:t>
      </w:r>
    </w:p>
    <w:p w14:paraId="3190213F" w14:textId="77777777" w:rsidR="00AF2A63" w:rsidRPr="00433F13" w:rsidRDefault="00AF2A63" w:rsidP="007334D1">
      <w:pPr>
        <w:pStyle w:val="Heading2"/>
        <w:rPr>
          <w:rFonts w:eastAsia="Calibri"/>
          <w:color w:val="000000" w:themeColor="text1"/>
        </w:rPr>
      </w:pPr>
      <w:r w:rsidRPr="00433F13">
        <w:rPr>
          <w:rFonts w:eastAsia="Calibri"/>
        </w:rPr>
        <w:t>Data Use</w:t>
      </w:r>
    </w:p>
    <w:p w14:paraId="01584B07" w14:textId="77777777" w:rsidR="00AF2A63" w:rsidRPr="00433F13" w:rsidRDefault="00AF2A63" w:rsidP="00AF2A63">
      <w:pPr>
        <w:adjustRightInd w:val="0"/>
        <w:spacing w:before="240" w:after="60" w:line="276" w:lineRule="auto"/>
        <w:jc w:val="both"/>
        <w:rPr>
          <w:rFonts w:eastAsia="Calibri"/>
          <w:b/>
          <w:color w:val="000000"/>
        </w:rPr>
      </w:pPr>
      <w:r w:rsidRPr="00433F13">
        <w:rPr>
          <w:rFonts w:eastAsia="Calibri"/>
          <w:b/>
          <w:color w:val="000000" w:themeColor="text1"/>
        </w:rPr>
        <w:t xml:space="preserve">Data will be used to:  </w:t>
      </w:r>
    </w:p>
    <w:p w14:paraId="3342F68E" w14:textId="77777777" w:rsidR="00AF2A63" w:rsidRPr="00433F13" w:rsidRDefault="00AF2A63" w:rsidP="00AF2A63">
      <w:pPr>
        <w:widowControl/>
        <w:numPr>
          <w:ilvl w:val="0"/>
          <w:numId w:val="6"/>
        </w:numPr>
        <w:adjustRightInd w:val="0"/>
        <w:spacing w:before="240" w:after="60" w:line="276" w:lineRule="auto"/>
        <w:ind w:left="425" w:hanging="425"/>
        <w:rPr>
          <w:rFonts w:eastAsia="Calibri"/>
          <w:bCs/>
          <w:color w:val="000000"/>
        </w:rPr>
      </w:pPr>
      <w:r w:rsidRPr="00433F13">
        <w:rPr>
          <w:rFonts w:eastAsia="Calibri"/>
          <w:color w:val="000000" w:themeColor="text1"/>
        </w:rPr>
        <w:t xml:space="preserve">Provide a baseline measurement of the </w:t>
      </w:r>
      <w:r>
        <w:rPr>
          <w:rFonts w:eastAsia="Calibri"/>
          <w:color w:val="000000" w:themeColor="text1"/>
        </w:rPr>
        <w:t>sociodemographic</w:t>
      </w:r>
      <w:r w:rsidRPr="00433F13">
        <w:rPr>
          <w:rFonts w:eastAsia="Calibri"/>
          <w:color w:val="000000" w:themeColor="text1"/>
        </w:rPr>
        <w:t xml:space="preserve"> of occupational therapists to better understand </w:t>
      </w:r>
      <w:r>
        <w:rPr>
          <w:rFonts w:eastAsia="Calibri"/>
          <w:color w:val="000000" w:themeColor="text1"/>
        </w:rPr>
        <w:t>sociodemographic</w:t>
      </w:r>
      <w:r w:rsidRPr="00433F13">
        <w:rPr>
          <w:rFonts w:eastAsia="Calibri"/>
          <w:color w:val="000000" w:themeColor="text1"/>
        </w:rPr>
        <w:t xml:space="preserve"> trends and inform efforts and strategies to promote equality and diversity in the profession.</w:t>
      </w:r>
    </w:p>
    <w:p w14:paraId="2AF9631B" w14:textId="77777777" w:rsidR="00AF2A63" w:rsidRPr="00433F13" w:rsidRDefault="00AF2A63" w:rsidP="00AF2A63">
      <w:pPr>
        <w:widowControl/>
        <w:numPr>
          <w:ilvl w:val="0"/>
          <w:numId w:val="6"/>
        </w:numPr>
        <w:adjustRightInd w:val="0"/>
        <w:spacing w:before="240" w:after="60" w:line="276" w:lineRule="auto"/>
        <w:ind w:left="425" w:hanging="425"/>
        <w:rPr>
          <w:rFonts w:eastAsia="Calibri"/>
          <w:bCs/>
          <w:color w:val="000000"/>
        </w:rPr>
      </w:pPr>
      <w:r w:rsidRPr="00433F13">
        <w:rPr>
          <w:rFonts w:eastAsia="Calibri"/>
          <w:bCs/>
          <w:color w:val="000000"/>
        </w:rPr>
        <w:t xml:space="preserve">Develop programs and practice support that will assist registrants in better serving communities. </w:t>
      </w:r>
    </w:p>
    <w:p w14:paraId="3C5BC6A8" w14:textId="77777777" w:rsidR="00AF2A63" w:rsidRPr="00433F13" w:rsidRDefault="00AF2A63" w:rsidP="00AF2A63">
      <w:pPr>
        <w:widowControl/>
        <w:numPr>
          <w:ilvl w:val="0"/>
          <w:numId w:val="6"/>
        </w:numPr>
        <w:adjustRightInd w:val="0"/>
        <w:spacing w:before="240" w:after="60" w:line="276" w:lineRule="auto"/>
        <w:ind w:left="425" w:hanging="425"/>
        <w:rPr>
          <w:rFonts w:eastAsia="Calibri"/>
          <w:bCs/>
          <w:color w:val="000000"/>
        </w:rPr>
      </w:pPr>
      <w:r w:rsidRPr="00433F13">
        <w:rPr>
          <w:rFonts w:eastAsia="Calibri"/>
          <w:bCs/>
          <w:color w:val="000000"/>
        </w:rPr>
        <w:t xml:space="preserve">Help the College meet its current strategic plan objectives and values which commit to integrating </w:t>
      </w:r>
      <w:r>
        <w:rPr>
          <w:rFonts w:eastAsia="Calibri"/>
          <w:bCs/>
          <w:color w:val="000000"/>
        </w:rPr>
        <w:t>equity, diversity and inclusion (“</w:t>
      </w:r>
      <w:r w:rsidRPr="00433F13">
        <w:rPr>
          <w:rFonts w:eastAsia="Calibri"/>
          <w:bCs/>
          <w:color w:val="000000"/>
        </w:rPr>
        <w:t>EDI</w:t>
      </w:r>
      <w:r>
        <w:rPr>
          <w:rFonts w:eastAsia="Calibri"/>
          <w:bCs/>
          <w:color w:val="000000"/>
        </w:rPr>
        <w:t>”)</w:t>
      </w:r>
      <w:r w:rsidRPr="00433F13">
        <w:rPr>
          <w:rFonts w:eastAsia="Calibri"/>
          <w:bCs/>
          <w:color w:val="000000"/>
        </w:rPr>
        <w:t xml:space="preserve"> practices throughout the organization and the occupational therapy profession.</w:t>
      </w:r>
    </w:p>
    <w:p w14:paraId="27E0F3EF" w14:textId="77777777" w:rsidR="00AF2A63" w:rsidRPr="00433F13" w:rsidRDefault="00AF2A63" w:rsidP="00AF2A63">
      <w:pPr>
        <w:widowControl/>
        <w:numPr>
          <w:ilvl w:val="0"/>
          <w:numId w:val="6"/>
        </w:numPr>
        <w:adjustRightInd w:val="0"/>
        <w:spacing w:before="240" w:after="60" w:line="276" w:lineRule="auto"/>
        <w:ind w:left="425" w:hanging="425"/>
        <w:rPr>
          <w:rFonts w:eastAsia="Calibri"/>
          <w:color w:val="000000"/>
        </w:rPr>
      </w:pPr>
      <w:r w:rsidRPr="00433F13">
        <w:rPr>
          <w:rFonts w:eastAsia="Calibri"/>
          <w:color w:val="000000" w:themeColor="text1"/>
        </w:rPr>
        <w:t xml:space="preserve">Highlight and track disparities and systemic barriers that equity-deserving groups face in accessing health care services or joining the profession.  </w:t>
      </w:r>
    </w:p>
    <w:p w14:paraId="7BFAF256" w14:textId="77777777" w:rsidR="00AF2A63" w:rsidRPr="00433F13" w:rsidRDefault="00AF2A63" w:rsidP="00AF2A63">
      <w:pPr>
        <w:widowControl/>
        <w:numPr>
          <w:ilvl w:val="0"/>
          <w:numId w:val="6"/>
        </w:numPr>
        <w:adjustRightInd w:val="0"/>
        <w:spacing w:before="240" w:after="60" w:line="276" w:lineRule="auto"/>
        <w:ind w:left="425" w:hanging="425"/>
        <w:rPr>
          <w:rFonts w:eastAsia="Calibri"/>
          <w:bCs/>
          <w:color w:val="000000"/>
        </w:rPr>
      </w:pPr>
      <w:r w:rsidRPr="00433F13">
        <w:rPr>
          <w:rFonts w:eastAsia="Calibri"/>
          <w:color w:val="000000" w:themeColor="text1"/>
        </w:rPr>
        <w:t>Support evidence-based decision making aimed at reducing or eliminating discrimination in the profession.</w:t>
      </w:r>
    </w:p>
    <w:p w14:paraId="652FB744" w14:textId="77777777" w:rsidR="00AF2A63" w:rsidRPr="00433F13" w:rsidRDefault="00AF2A63" w:rsidP="00AF2A63">
      <w:pPr>
        <w:widowControl/>
        <w:numPr>
          <w:ilvl w:val="0"/>
          <w:numId w:val="6"/>
        </w:numPr>
        <w:adjustRightInd w:val="0"/>
        <w:spacing w:before="240" w:after="60" w:line="276" w:lineRule="auto"/>
        <w:ind w:left="425" w:hanging="425"/>
        <w:rPr>
          <w:rFonts w:eastAsia="Calibri"/>
          <w:color w:val="000000"/>
        </w:rPr>
      </w:pPr>
      <w:r>
        <w:rPr>
          <w:rFonts w:eastAsia="Calibri"/>
          <w:color w:val="000000" w:themeColor="text1"/>
        </w:rPr>
        <w:t>Heed</w:t>
      </w:r>
      <w:r w:rsidRPr="00433F13">
        <w:rPr>
          <w:rFonts w:eastAsia="Calibri"/>
          <w:color w:val="000000" w:themeColor="text1"/>
        </w:rPr>
        <w:t xml:space="preserve"> the Truth and Reconciliation calls to collect data so that progress can be measured especially on increasing</w:t>
      </w:r>
      <w:r>
        <w:rPr>
          <w:rFonts w:eastAsia="Calibri"/>
          <w:color w:val="000000" w:themeColor="text1"/>
        </w:rPr>
        <w:t xml:space="preserve"> the number of</w:t>
      </w:r>
      <w:r w:rsidRPr="00433F13">
        <w:rPr>
          <w:rFonts w:eastAsia="Calibri"/>
          <w:color w:val="000000" w:themeColor="text1"/>
        </w:rPr>
        <w:t xml:space="preserve"> indigenous health professionals, based on the belief that only what is measured can be effectively understood and improved.       </w:t>
      </w:r>
    </w:p>
    <w:p w14:paraId="13B0759E" w14:textId="5EA6B2C8" w:rsidR="00AF2A63" w:rsidRPr="007334D1" w:rsidRDefault="00AF2A63" w:rsidP="007334D1">
      <w:pPr>
        <w:widowControl/>
        <w:numPr>
          <w:ilvl w:val="0"/>
          <w:numId w:val="6"/>
        </w:numPr>
        <w:adjustRightInd w:val="0"/>
        <w:spacing w:before="240" w:after="60" w:line="276" w:lineRule="auto"/>
        <w:ind w:left="425" w:hanging="425"/>
        <w:rPr>
          <w:rFonts w:eastAsia="Arial Narrow"/>
        </w:rPr>
      </w:pPr>
      <w:r w:rsidRPr="00433F13">
        <w:rPr>
          <w:rFonts w:eastAsia="Calibri"/>
          <w:color w:val="000000" w:themeColor="text1"/>
        </w:rPr>
        <w:t xml:space="preserve">Provide more robust data to the Canadian Institute for Health Information (CIHI), in turn allowing the organization to aggregate Canadian data regarding the profile of Canadian OTs. </w:t>
      </w:r>
    </w:p>
    <w:p w14:paraId="1229F8A9" w14:textId="77777777" w:rsidR="00AF2A63" w:rsidRPr="00433F13" w:rsidRDefault="00AF2A63" w:rsidP="007334D1">
      <w:pPr>
        <w:pStyle w:val="Heading2"/>
        <w:rPr>
          <w:rFonts w:eastAsia="Calibri"/>
          <w:u w:val="single"/>
        </w:rPr>
      </w:pPr>
      <w:r w:rsidRPr="00433F13">
        <w:rPr>
          <w:rFonts w:eastAsia="Calibri"/>
        </w:rPr>
        <w:t>Limited Use</w:t>
      </w:r>
    </w:p>
    <w:p w14:paraId="7F0B8624" w14:textId="77777777" w:rsidR="007334D1" w:rsidRDefault="007334D1">
      <w:pPr>
        <w:rPr>
          <w:rFonts w:eastAsia="Calibri"/>
          <w:b/>
          <w:color w:val="000000" w:themeColor="text1"/>
        </w:rPr>
      </w:pPr>
      <w:r>
        <w:rPr>
          <w:rFonts w:eastAsia="Calibri"/>
          <w:b/>
          <w:color w:val="000000" w:themeColor="text1"/>
        </w:rPr>
        <w:br w:type="page"/>
      </w:r>
    </w:p>
    <w:p w14:paraId="6F352B15" w14:textId="043BA3E7" w:rsidR="00AF2A63" w:rsidRPr="00433F13" w:rsidRDefault="00AF2A63" w:rsidP="00AF2A63">
      <w:pPr>
        <w:adjustRightInd w:val="0"/>
        <w:spacing w:before="240" w:after="60" w:line="276" w:lineRule="auto"/>
        <w:jc w:val="both"/>
        <w:rPr>
          <w:rFonts w:eastAsia="Calibri"/>
          <w:b/>
          <w:color w:val="000000"/>
        </w:rPr>
      </w:pPr>
      <w:r w:rsidRPr="00433F13">
        <w:rPr>
          <w:rFonts w:eastAsia="Calibri"/>
          <w:b/>
          <w:color w:val="000000" w:themeColor="text1"/>
        </w:rPr>
        <w:lastRenderedPageBreak/>
        <w:t xml:space="preserve">Data will not be used:  </w:t>
      </w:r>
    </w:p>
    <w:p w14:paraId="65C2AD9A" w14:textId="77777777" w:rsidR="00AF2A63" w:rsidRPr="00433F13" w:rsidRDefault="00AF2A63" w:rsidP="00AF2A63">
      <w:pPr>
        <w:pStyle w:val="PolicyandProcedureHeading"/>
        <w:numPr>
          <w:ilvl w:val="0"/>
          <w:numId w:val="16"/>
        </w:numPr>
        <w:spacing w:after="60" w:line="276" w:lineRule="auto"/>
        <w:ind w:left="425" w:hanging="425"/>
        <w:jc w:val="left"/>
        <w:rPr>
          <w:rFonts w:ascii="Arial" w:eastAsia="Arial Narrow" w:hAnsi="Arial" w:cs="Arial"/>
          <w:b w:val="0"/>
          <w:bCs w:val="0"/>
          <w:sz w:val="22"/>
          <w:szCs w:val="22"/>
        </w:rPr>
      </w:pPr>
      <w:r w:rsidRPr="00433F13">
        <w:rPr>
          <w:rFonts w:ascii="Arial" w:eastAsia="Arial Narrow" w:hAnsi="Arial" w:cs="Arial"/>
          <w:b w:val="0"/>
          <w:bCs w:val="0"/>
          <w:sz w:val="22"/>
          <w:szCs w:val="22"/>
        </w:rPr>
        <w:t>In any way that could identify an individual registrant.</w:t>
      </w:r>
    </w:p>
    <w:p w14:paraId="788AD937" w14:textId="77777777" w:rsidR="00AF2A63" w:rsidRPr="00433F13" w:rsidRDefault="00AF2A63" w:rsidP="00AF2A63">
      <w:pPr>
        <w:pStyle w:val="PolicyandProcedureHeading"/>
        <w:numPr>
          <w:ilvl w:val="0"/>
          <w:numId w:val="16"/>
        </w:numPr>
        <w:spacing w:after="60" w:line="276" w:lineRule="auto"/>
        <w:ind w:left="425" w:hanging="425"/>
        <w:jc w:val="left"/>
        <w:rPr>
          <w:rFonts w:ascii="Arial" w:eastAsia="Arial Narrow" w:hAnsi="Arial" w:cs="Arial"/>
          <w:b w:val="0"/>
          <w:bCs w:val="0"/>
          <w:sz w:val="22"/>
          <w:szCs w:val="22"/>
        </w:rPr>
      </w:pPr>
      <w:r w:rsidRPr="00433F13">
        <w:rPr>
          <w:rFonts w:ascii="Arial" w:eastAsia="Arial Narrow" w:hAnsi="Arial" w:cs="Arial"/>
          <w:b w:val="0"/>
          <w:bCs w:val="0"/>
          <w:sz w:val="22"/>
          <w:szCs w:val="22"/>
        </w:rPr>
        <w:t xml:space="preserve">With the intention to impact, harm or discriminate against a registrant. </w:t>
      </w:r>
    </w:p>
    <w:p w14:paraId="01BBFEE2" w14:textId="77777777" w:rsidR="00AF2A63" w:rsidRDefault="00AF2A63" w:rsidP="00AF2A63">
      <w:pPr>
        <w:pStyle w:val="PolicyandProcedureHeading"/>
        <w:numPr>
          <w:ilvl w:val="0"/>
          <w:numId w:val="16"/>
        </w:numPr>
        <w:spacing w:after="60" w:line="276" w:lineRule="auto"/>
        <w:ind w:left="425" w:hanging="425"/>
        <w:jc w:val="left"/>
        <w:rPr>
          <w:rFonts w:ascii="Arial" w:eastAsia="Arial Narrow" w:hAnsi="Arial" w:cs="Arial"/>
          <w:b w:val="0"/>
          <w:bCs w:val="0"/>
          <w:sz w:val="22"/>
          <w:szCs w:val="22"/>
        </w:rPr>
      </w:pPr>
      <w:r w:rsidRPr="00433F13">
        <w:rPr>
          <w:rFonts w:ascii="Arial" w:eastAsia="Arial Narrow" w:hAnsi="Arial" w:cs="Arial"/>
          <w:b w:val="0"/>
          <w:bCs w:val="0"/>
          <w:sz w:val="22"/>
          <w:szCs w:val="22"/>
        </w:rPr>
        <w:t>To deny registration or be checked against a registrant’s safe practice registration requirement.</w:t>
      </w:r>
    </w:p>
    <w:p w14:paraId="242DC6CC" w14:textId="77777777" w:rsidR="00AF2A63" w:rsidRPr="00433F13" w:rsidRDefault="00AF2A63" w:rsidP="00AF2A63">
      <w:pPr>
        <w:pStyle w:val="PolicyandProcedureHeading"/>
        <w:numPr>
          <w:ilvl w:val="0"/>
          <w:numId w:val="16"/>
        </w:numPr>
        <w:spacing w:after="60" w:line="276" w:lineRule="auto"/>
        <w:ind w:left="425" w:hanging="425"/>
        <w:jc w:val="left"/>
        <w:rPr>
          <w:rFonts w:ascii="Arial" w:eastAsia="Arial Narrow" w:hAnsi="Arial" w:cs="Arial"/>
          <w:b w:val="0"/>
          <w:bCs w:val="0"/>
          <w:sz w:val="22"/>
          <w:szCs w:val="22"/>
        </w:rPr>
      </w:pPr>
      <w:r>
        <w:rPr>
          <w:rFonts w:ascii="Arial" w:eastAsia="Arial Narrow" w:hAnsi="Arial" w:cs="Arial"/>
          <w:b w:val="0"/>
          <w:bCs w:val="0"/>
          <w:sz w:val="22"/>
          <w:szCs w:val="22"/>
        </w:rPr>
        <w:t>By the College in complaints or discipline processes.</w:t>
      </w:r>
    </w:p>
    <w:p w14:paraId="0B30376A" w14:textId="77777777" w:rsidR="00AF2A63" w:rsidRPr="0076508F" w:rsidRDefault="00AF2A63" w:rsidP="00AF2A63">
      <w:pPr>
        <w:pStyle w:val="PolicyandProcedureHeading"/>
        <w:numPr>
          <w:ilvl w:val="0"/>
          <w:numId w:val="16"/>
        </w:numPr>
        <w:spacing w:after="60" w:line="276" w:lineRule="auto"/>
        <w:ind w:left="425" w:hanging="425"/>
        <w:jc w:val="left"/>
        <w:rPr>
          <w:rFonts w:ascii="Arial" w:eastAsia="Arial Narrow" w:hAnsi="Arial" w:cs="Arial"/>
          <w:b w:val="0"/>
          <w:bCs w:val="0"/>
          <w:sz w:val="22"/>
          <w:szCs w:val="22"/>
        </w:rPr>
      </w:pPr>
      <w:r w:rsidRPr="00433F13">
        <w:rPr>
          <w:rFonts w:ascii="Arial" w:eastAsia="Arial Narrow" w:hAnsi="Arial" w:cs="Arial"/>
          <w:b w:val="0"/>
          <w:bCs w:val="0"/>
          <w:sz w:val="22"/>
          <w:szCs w:val="22"/>
        </w:rPr>
        <w:t>To perpetuate stereotype of specific groups.</w:t>
      </w:r>
    </w:p>
    <w:p w14:paraId="53CA8392" w14:textId="77777777" w:rsidR="00AF2A63" w:rsidRPr="00433F13" w:rsidRDefault="00AF2A63" w:rsidP="007334D1">
      <w:pPr>
        <w:pStyle w:val="Heading2"/>
      </w:pPr>
      <w:r w:rsidRPr="00433F13">
        <w:t>Responsibilities</w:t>
      </w:r>
    </w:p>
    <w:p w14:paraId="1B265C5F" w14:textId="77777777" w:rsidR="00AF2A63" w:rsidRPr="00433F13" w:rsidRDefault="00AF2A63" w:rsidP="00AF2A63">
      <w:pPr>
        <w:spacing w:before="240" w:after="60" w:line="276" w:lineRule="auto"/>
        <w:jc w:val="both"/>
        <w:rPr>
          <w:rFonts w:eastAsia="Times New Roman"/>
          <w:b/>
        </w:rPr>
      </w:pPr>
      <w:r w:rsidRPr="00433F13">
        <w:rPr>
          <w:rFonts w:eastAsia="Times New Roman"/>
          <w:b/>
        </w:rPr>
        <w:t>The College:</w:t>
      </w:r>
    </w:p>
    <w:p w14:paraId="29B2644E" w14:textId="77777777" w:rsidR="00AF2A6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Ensure</w:t>
      </w:r>
      <w:r>
        <w:rPr>
          <w:rFonts w:eastAsia="Times New Roman"/>
        </w:rPr>
        <w:t>s</w:t>
      </w:r>
      <w:r w:rsidRPr="00433F13">
        <w:rPr>
          <w:rFonts w:eastAsia="Times New Roman"/>
        </w:rPr>
        <w:t xml:space="preserve"> compliance with laws and ethical guidelines in all stages of data collection, storage, and management.</w:t>
      </w:r>
    </w:p>
    <w:p w14:paraId="3BBEDC3A" w14:textId="77777777" w:rsidR="00AF2A63" w:rsidRPr="0004563A" w:rsidRDefault="00AF2A63" w:rsidP="00AF2A63">
      <w:pPr>
        <w:widowControl/>
        <w:numPr>
          <w:ilvl w:val="1"/>
          <w:numId w:val="8"/>
        </w:numPr>
        <w:autoSpaceDE/>
        <w:autoSpaceDN/>
        <w:spacing w:before="240" w:after="60" w:line="276" w:lineRule="auto"/>
        <w:ind w:left="425" w:hanging="425"/>
        <w:rPr>
          <w:rFonts w:eastAsia="Times New Roman"/>
        </w:rPr>
      </w:pPr>
      <w:r>
        <w:rPr>
          <w:rFonts w:eastAsia="Times New Roman"/>
        </w:rPr>
        <w:t>Ensures c</w:t>
      </w:r>
      <w:r w:rsidRPr="00A831AE">
        <w:rPr>
          <w:rFonts w:eastAsia="Times New Roman"/>
        </w:rPr>
        <w:t xml:space="preserve">lear guidance is provided to staff regarding the types of sociodemographic data to be collected, the appropriate data fields or forms to use, and the preferred methods for data entry.     </w:t>
      </w:r>
    </w:p>
    <w:p w14:paraId="24137962" w14:textId="77777777" w:rsidR="00AF2A63" w:rsidRPr="00433F1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Provide</w:t>
      </w:r>
      <w:r>
        <w:rPr>
          <w:rFonts w:eastAsia="Times New Roman"/>
        </w:rPr>
        <w:t>s</w:t>
      </w:r>
      <w:r w:rsidRPr="00433F13">
        <w:rPr>
          <w:rFonts w:eastAsia="Times New Roman"/>
        </w:rPr>
        <w:t xml:space="preserve"> staff with regular training on data security, privacy protection, and ethical use of </w:t>
      </w:r>
      <w:r>
        <w:rPr>
          <w:rFonts w:eastAsia="Times New Roman"/>
        </w:rPr>
        <w:t>sociodemographic</w:t>
      </w:r>
      <w:r w:rsidRPr="00433F13">
        <w:rPr>
          <w:rFonts w:eastAsia="Times New Roman"/>
        </w:rPr>
        <w:t xml:space="preserve"> data.</w:t>
      </w:r>
    </w:p>
    <w:p w14:paraId="1A24760D" w14:textId="77777777" w:rsidR="00AF2A63" w:rsidRPr="00433F1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Ensure</w:t>
      </w:r>
      <w:r>
        <w:rPr>
          <w:rFonts w:eastAsia="Times New Roman"/>
        </w:rPr>
        <w:t>s</w:t>
      </w:r>
      <w:r w:rsidRPr="00433F13">
        <w:rPr>
          <w:rFonts w:eastAsia="Times New Roman"/>
        </w:rPr>
        <w:t xml:space="preserve"> that clear procedures are in place for data access, including who can access and modify data, and under what circumstances.</w:t>
      </w:r>
    </w:p>
    <w:p w14:paraId="03D19536" w14:textId="77777777" w:rsidR="00AF2A6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Monitor</w:t>
      </w:r>
      <w:r>
        <w:rPr>
          <w:rFonts w:eastAsia="Times New Roman"/>
        </w:rPr>
        <w:t>s</w:t>
      </w:r>
      <w:r w:rsidRPr="00433F13">
        <w:rPr>
          <w:rFonts w:eastAsia="Times New Roman"/>
        </w:rPr>
        <w:t xml:space="preserve"> the implementation of this policy to ensure data is being handled appropriately and securely.</w:t>
      </w:r>
    </w:p>
    <w:p w14:paraId="1A55ECD8" w14:textId="77777777" w:rsidR="00AF2A63" w:rsidRDefault="00AF2A63" w:rsidP="00AF2A63">
      <w:pPr>
        <w:widowControl/>
        <w:numPr>
          <w:ilvl w:val="1"/>
          <w:numId w:val="8"/>
        </w:numPr>
        <w:autoSpaceDE/>
        <w:autoSpaceDN/>
        <w:spacing w:before="240" w:after="60" w:line="276" w:lineRule="auto"/>
        <w:ind w:left="425" w:hanging="425"/>
        <w:rPr>
          <w:rFonts w:eastAsia="Times New Roman"/>
        </w:rPr>
      </w:pPr>
      <w:r>
        <w:rPr>
          <w:rFonts w:eastAsia="Times New Roman"/>
        </w:rPr>
        <w:t>Ensures engagement of people with “lived reality” who are most affected through two-way or multi-directional communication</w:t>
      </w:r>
    </w:p>
    <w:p w14:paraId="5F40C69F" w14:textId="4361A94B" w:rsidR="00AF2A63" w:rsidRPr="00AF2A63" w:rsidRDefault="00AF2A63" w:rsidP="00AF2A63">
      <w:pPr>
        <w:widowControl/>
        <w:numPr>
          <w:ilvl w:val="1"/>
          <w:numId w:val="8"/>
        </w:numPr>
        <w:autoSpaceDE/>
        <w:autoSpaceDN/>
        <w:spacing w:before="240" w:after="60" w:line="276" w:lineRule="auto"/>
        <w:ind w:left="425" w:hanging="425"/>
        <w:rPr>
          <w:rFonts w:eastAsia="Times New Roman"/>
        </w:rPr>
      </w:pPr>
      <w:r>
        <w:rPr>
          <w:rFonts w:eastAsia="Times New Roman"/>
        </w:rPr>
        <w:t xml:space="preserve">Ensures </w:t>
      </w:r>
      <w:r>
        <w:rPr>
          <w:rFonts w:eastAsia="Arial Narrow"/>
        </w:rPr>
        <w:t>the contributions of people and communities are acknowledged and valued</w:t>
      </w:r>
      <w:r>
        <w:rPr>
          <w:rFonts w:eastAsia="Times New Roman"/>
        </w:rPr>
        <w:t xml:space="preserve">.  </w:t>
      </w:r>
    </w:p>
    <w:p w14:paraId="5310BA2C" w14:textId="77777777" w:rsidR="00AF2A63" w:rsidRPr="00433F13" w:rsidRDefault="00AF2A63" w:rsidP="00AF2A63">
      <w:pPr>
        <w:spacing w:before="240" w:after="60" w:line="276" w:lineRule="auto"/>
        <w:jc w:val="both"/>
        <w:rPr>
          <w:rFonts w:eastAsia="Times New Roman"/>
          <w:b/>
        </w:rPr>
      </w:pPr>
      <w:r w:rsidRPr="00433F13">
        <w:rPr>
          <w:rFonts w:eastAsia="Times New Roman"/>
          <w:b/>
        </w:rPr>
        <w:t>Staff:</w:t>
      </w:r>
    </w:p>
    <w:p w14:paraId="43C2FFDA" w14:textId="77777777" w:rsidR="00AF2A63" w:rsidRPr="00433F1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Follow established procedures for collecting, storing,</w:t>
      </w:r>
      <w:r>
        <w:rPr>
          <w:rFonts w:eastAsia="Times New Roman"/>
        </w:rPr>
        <w:t xml:space="preserve"> communicating about</w:t>
      </w:r>
      <w:r w:rsidRPr="00433F13">
        <w:rPr>
          <w:rFonts w:eastAsia="Times New Roman"/>
        </w:rPr>
        <w:t xml:space="preserve"> and managing </w:t>
      </w:r>
      <w:r>
        <w:rPr>
          <w:rFonts w:eastAsia="Times New Roman"/>
        </w:rPr>
        <w:t>sociodemographic</w:t>
      </w:r>
      <w:r w:rsidRPr="00433F13">
        <w:rPr>
          <w:rFonts w:eastAsia="Times New Roman"/>
        </w:rPr>
        <w:t xml:space="preserve"> data.</w:t>
      </w:r>
    </w:p>
    <w:p w14:paraId="2ADE2E2E" w14:textId="77777777" w:rsidR="00AF2A63" w:rsidRPr="00433F1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 xml:space="preserve">Always maintain the confidentiality of </w:t>
      </w:r>
      <w:r>
        <w:rPr>
          <w:rFonts w:eastAsia="Times New Roman"/>
        </w:rPr>
        <w:t>sociodemographic</w:t>
      </w:r>
      <w:r w:rsidRPr="00433F13">
        <w:rPr>
          <w:rFonts w:eastAsia="Times New Roman"/>
        </w:rPr>
        <w:t xml:space="preserve"> data. </w:t>
      </w:r>
    </w:p>
    <w:p w14:paraId="289E6857" w14:textId="77777777" w:rsidR="00AF2A63" w:rsidRPr="00433F13" w:rsidRDefault="00AF2A63" w:rsidP="00AF2A63">
      <w:pPr>
        <w:widowControl/>
        <w:numPr>
          <w:ilvl w:val="1"/>
          <w:numId w:val="8"/>
        </w:numPr>
        <w:autoSpaceDE/>
        <w:autoSpaceDN/>
        <w:spacing w:before="240" w:after="60" w:line="276" w:lineRule="auto"/>
        <w:ind w:left="425" w:hanging="425"/>
        <w:rPr>
          <w:rFonts w:eastAsia="Times New Roman"/>
        </w:rPr>
      </w:pPr>
      <w:r w:rsidRPr="00433F13">
        <w:rPr>
          <w:rFonts w:eastAsia="Times New Roman"/>
        </w:rPr>
        <w:t>Report any breaches of data security or potential risks to the Privacy Officer immediately.</w:t>
      </w:r>
    </w:p>
    <w:p w14:paraId="60158BF9" w14:textId="14A86F6D" w:rsidR="00AF2A63" w:rsidRPr="00433F13" w:rsidRDefault="00AF2A63" w:rsidP="007334D1">
      <w:pPr>
        <w:pStyle w:val="Heading2"/>
      </w:pPr>
      <w:r w:rsidRPr="00433F13">
        <w:lastRenderedPageBreak/>
        <w:t xml:space="preserve">Procedure </w:t>
      </w:r>
    </w:p>
    <w:p w14:paraId="35A7BC67" w14:textId="77777777" w:rsidR="00AF2A63" w:rsidRPr="00AF2A63" w:rsidRDefault="00AF2A63" w:rsidP="00AF2A63">
      <w:pPr>
        <w:adjustRightInd w:val="0"/>
        <w:spacing w:before="240" w:after="60" w:line="276" w:lineRule="auto"/>
        <w:jc w:val="both"/>
        <w:rPr>
          <w:rFonts w:eastAsia="Calibri"/>
          <w:b/>
          <w:color w:val="000000" w:themeColor="text1"/>
        </w:rPr>
      </w:pPr>
      <w:r w:rsidRPr="00AF2A63">
        <w:rPr>
          <w:rFonts w:eastAsia="Calibri"/>
          <w:b/>
          <w:color w:val="000000" w:themeColor="text1"/>
        </w:rPr>
        <w:t xml:space="preserve">Data Collection: </w:t>
      </w:r>
    </w:p>
    <w:p w14:paraId="7EF3994D" w14:textId="77777777" w:rsidR="00AF2A63" w:rsidRPr="000C617C" w:rsidRDefault="00AF2A63" w:rsidP="00AF2A63">
      <w:pPr>
        <w:widowControl/>
        <w:numPr>
          <w:ilvl w:val="0"/>
          <w:numId w:val="9"/>
        </w:numPr>
        <w:autoSpaceDE/>
        <w:autoSpaceDN/>
        <w:spacing w:before="240" w:after="60" w:line="276" w:lineRule="auto"/>
        <w:ind w:left="425" w:hanging="425"/>
        <w:rPr>
          <w:rFonts w:eastAsia="Times New Roman"/>
        </w:rPr>
      </w:pPr>
      <w:r w:rsidRPr="000C617C">
        <w:rPr>
          <w:rFonts w:eastAsia="Times New Roman"/>
        </w:rPr>
        <w:t>Sociodemographic data is collected at registration and annual registration through a secure application and renewal process.</w:t>
      </w:r>
    </w:p>
    <w:p w14:paraId="624D0FAA" w14:textId="77777777" w:rsidR="00AF2A63" w:rsidRPr="000C617C" w:rsidRDefault="00AF2A63" w:rsidP="00AF2A63">
      <w:pPr>
        <w:widowControl/>
        <w:numPr>
          <w:ilvl w:val="0"/>
          <w:numId w:val="9"/>
        </w:numPr>
        <w:autoSpaceDE/>
        <w:autoSpaceDN/>
        <w:spacing w:before="240" w:after="60" w:line="276" w:lineRule="auto"/>
        <w:ind w:left="425" w:hanging="425"/>
        <w:rPr>
          <w:rFonts w:eastAsia="Times New Roman"/>
        </w:rPr>
      </w:pPr>
      <w:r w:rsidRPr="000C617C">
        <w:rPr>
          <w:rFonts w:eastAsia="Times New Roman"/>
        </w:rPr>
        <w:t xml:space="preserve">The sociodemographic data collection repository includes at a minimum, the 30 core data elements identified in the </w:t>
      </w:r>
      <w:bookmarkStart w:id="10" w:name="_Hlk181939121"/>
      <w:r w:rsidRPr="000C617C">
        <w:rPr>
          <w:rFonts w:eastAsia="Times New Roman"/>
        </w:rPr>
        <w:t xml:space="preserve">CIHI HHR MDS Data </w:t>
      </w:r>
      <w:bookmarkEnd w:id="10"/>
      <w:r w:rsidRPr="000C617C">
        <w:rPr>
          <w:rFonts w:eastAsia="Times New Roman"/>
        </w:rPr>
        <w:t>Dictionary to enable the College to submit HHR data under agreements with CIHI and other government agencies including but not limited to</w:t>
      </w:r>
      <w:r w:rsidRPr="000C617C">
        <w:t xml:space="preserve"> Indigenous Identity</w:t>
      </w:r>
      <w:r w:rsidRPr="000C617C">
        <w:rPr>
          <w:rStyle w:val="FootnoteReference"/>
        </w:rPr>
        <w:footnoteReference w:id="8"/>
      </w:r>
      <w:r w:rsidRPr="000C617C">
        <w:t xml:space="preserve"> </w:t>
      </w:r>
      <w:r w:rsidRPr="000C617C">
        <w:rPr>
          <w:rFonts w:eastAsia="Times New Roman"/>
        </w:rPr>
        <w:t xml:space="preserve"> and </w:t>
      </w:r>
      <w:r w:rsidRPr="000C617C">
        <w:t>Racialized Group See</w:t>
      </w:r>
      <w:r w:rsidRPr="000C617C">
        <w:rPr>
          <w:rFonts w:eastAsia="Times New Roman"/>
        </w:rPr>
        <w:t xml:space="preserve"> Appendix 1 and Appendix 2.</w:t>
      </w:r>
      <w:bookmarkStart w:id="11" w:name="_Hlk189484620"/>
    </w:p>
    <w:bookmarkEnd w:id="11"/>
    <w:p w14:paraId="415ECDCA" w14:textId="77777777" w:rsidR="00AF2A63" w:rsidRPr="00433F13" w:rsidRDefault="00AF2A63" w:rsidP="00AF2A63">
      <w:pPr>
        <w:widowControl/>
        <w:numPr>
          <w:ilvl w:val="0"/>
          <w:numId w:val="9"/>
        </w:numPr>
        <w:autoSpaceDE/>
        <w:autoSpaceDN/>
        <w:spacing w:before="240" w:after="60" w:line="276" w:lineRule="auto"/>
        <w:ind w:left="425" w:hanging="425"/>
        <w:rPr>
          <w:rFonts w:eastAsia="Times New Roman"/>
        </w:rPr>
      </w:pPr>
      <w:r w:rsidRPr="00433F13">
        <w:rPr>
          <w:rFonts w:eastAsia="Times New Roman"/>
        </w:rPr>
        <w:t>Digital consent is obtained from individuals with clear language explaining how the data will be used.</w:t>
      </w:r>
    </w:p>
    <w:p w14:paraId="6D09A0D6" w14:textId="77777777" w:rsidR="00AF2A63" w:rsidRDefault="00AF2A63" w:rsidP="00AF2A63">
      <w:pPr>
        <w:widowControl/>
        <w:numPr>
          <w:ilvl w:val="0"/>
          <w:numId w:val="9"/>
        </w:numPr>
        <w:autoSpaceDE/>
        <w:autoSpaceDN/>
        <w:spacing w:before="240" w:after="60" w:line="276" w:lineRule="auto"/>
        <w:ind w:left="425" w:hanging="425"/>
        <w:rPr>
          <w:rFonts w:eastAsia="Times New Roman"/>
        </w:rPr>
      </w:pPr>
      <w:r w:rsidRPr="00433F13">
        <w:rPr>
          <w:rFonts w:eastAsia="Times New Roman"/>
        </w:rPr>
        <w:t xml:space="preserve">Provision of </w:t>
      </w:r>
      <w:r>
        <w:rPr>
          <w:rFonts w:eastAsia="Times New Roman"/>
        </w:rPr>
        <w:t>sociodemographic</w:t>
      </w:r>
      <w:r w:rsidRPr="00433F13">
        <w:rPr>
          <w:rFonts w:eastAsia="Times New Roman"/>
        </w:rPr>
        <w:t xml:space="preserve"> data in the COTO Portal by registrants is voluntary through purpose-built applications providing for digital consent and use of non-mandatory fields.</w:t>
      </w:r>
    </w:p>
    <w:p w14:paraId="256C2582" w14:textId="77777777" w:rsidR="00AF2A63" w:rsidRPr="00433F13" w:rsidRDefault="00AF2A63" w:rsidP="007334D1">
      <w:pPr>
        <w:pStyle w:val="Heading2"/>
      </w:pPr>
      <w:r w:rsidRPr="00433F13">
        <w:t>Data Storage and Protection</w:t>
      </w:r>
    </w:p>
    <w:p w14:paraId="40E7B821" w14:textId="77777777" w:rsidR="00AF2A63" w:rsidRPr="00433F13" w:rsidRDefault="00AF2A63" w:rsidP="00AF2A63">
      <w:pPr>
        <w:spacing w:before="240" w:after="60" w:line="276" w:lineRule="auto"/>
        <w:jc w:val="both"/>
        <w:rPr>
          <w:rFonts w:eastAsia="Times New Roman"/>
          <w:b/>
        </w:rPr>
      </w:pPr>
      <w:r w:rsidRPr="00433F13">
        <w:rPr>
          <w:rFonts w:eastAsia="Times New Roman"/>
          <w:b/>
        </w:rPr>
        <w:t>Secure Storage:</w:t>
      </w:r>
    </w:p>
    <w:p w14:paraId="148FA3E8" w14:textId="77777777" w:rsidR="00AF2A63" w:rsidRPr="00433F13" w:rsidRDefault="00AF2A63" w:rsidP="00AF2A63">
      <w:pPr>
        <w:pStyle w:val="ListParagraph"/>
        <w:widowControl/>
        <w:numPr>
          <w:ilvl w:val="0"/>
          <w:numId w:val="17"/>
        </w:numPr>
        <w:autoSpaceDE/>
        <w:autoSpaceDN/>
        <w:spacing w:before="240" w:after="60" w:line="276" w:lineRule="auto"/>
        <w:ind w:left="425" w:hanging="425"/>
        <w:rPr>
          <w:rFonts w:eastAsia="Times New Roman"/>
        </w:rPr>
      </w:pPr>
      <w:r w:rsidRPr="00433F13">
        <w:rPr>
          <w:rFonts w:eastAsia="Times New Roman"/>
        </w:rPr>
        <w:t xml:space="preserve">All </w:t>
      </w:r>
      <w:r>
        <w:rPr>
          <w:rFonts w:eastAsia="Times New Roman"/>
        </w:rPr>
        <w:t>sociodemographic</w:t>
      </w:r>
      <w:r w:rsidRPr="00433F13">
        <w:rPr>
          <w:rFonts w:eastAsia="Times New Roman"/>
        </w:rPr>
        <w:t xml:space="preserve"> data is stored in secure, encrypted systems to prevent unauthorized access.</w:t>
      </w:r>
    </w:p>
    <w:p w14:paraId="658FAD8E" w14:textId="77777777" w:rsidR="00AF2A63" w:rsidRPr="00433F13" w:rsidRDefault="00AF2A63" w:rsidP="00AF2A63">
      <w:pPr>
        <w:pStyle w:val="ListParagraph"/>
        <w:widowControl/>
        <w:numPr>
          <w:ilvl w:val="0"/>
          <w:numId w:val="17"/>
        </w:numPr>
        <w:autoSpaceDE/>
        <w:autoSpaceDN/>
        <w:spacing w:before="240" w:after="60" w:line="276" w:lineRule="auto"/>
        <w:ind w:left="425" w:hanging="425"/>
        <w:rPr>
          <w:rFonts w:eastAsia="Times New Roman"/>
        </w:rPr>
      </w:pPr>
      <w:r w:rsidRPr="00433F13">
        <w:rPr>
          <w:rFonts w:eastAsia="Times New Roman"/>
        </w:rPr>
        <w:t xml:space="preserve">Physical storage devices (e.g., hard drives, backup tapes) containing </w:t>
      </w:r>
      <w:r>
        <w:rPr>
          <w:rFonts w:eastAsia="Times New Roman"/>
        </w:rPr>
        <w:t>sociodemographic</w:t>
      </w:r>
      <w:r w:rsidRPr="00433F13">
        <w:rPr>
          <w:rFonts w:eastAsia="Times New Roman"/>
        </w:rPr>
        <w:t xml:space="preserve"> data are kept in secure, access-controlled locations.</w:t>
      </w:r>
    </w:p>
    <w:p w14:paraId="54021C37" w14:textId="77777777" w:rsidR="00AF2A63" w:rsidRPr="00433F13" w:rsidRDefault="00AF2A63" w:rsidP="00AF2A63">
      <w:pPr>
        <w:pStyle w:val="ListParagraph"/>
        <w:widowControl/>
        <w:numPr>
          <w:ilvl w:val="0"/>
          <w:numId w:val="17"/>
        </w:numPr>
        <w:autoSpaceDE/>
        <w:autoSpaceDN/>
        <w:spacing w:before="240" w:after="60" w:line="276" w:lineRule="auto"/>
        <w:ind w:left="425" w:hanging="425"/>
        <w:rPr>
          <w:rFonts w:eastAsia="Times New Roman"/>
        </w:rPr>
      </w:pPr>
      <w:r w:rsidRPr="00433F13">
        <w:rPr>
          <w:rFonts w:eastAsia="Times New Roman"/>
        </w:rPr>
        <w:t>Electronic data is stored in secure databases that comply with the highest standards of cybersecurity.</w:t>
      </w:r>
    </w:p>
    <w:p w14:paraId="70015EF1" w14:textId="77777777" w:rsidR="00AF2A63" w:rsidRPr="00433F13" w:rsidRDefault="00AF2A63" w:rsidP="00AF2A63">
      <w:pPr>
        <w:pStyle w:val="ListParagraph"/>
        <w:widowControl/>
        <w:numPr>
          <w:ilvl w:val="0"/>
          <w:numId w:val="17"/>
        </w:numPr>
        <w:autoSpaceDE/>
        <w:autoSpaceDN/>
        <w:spacing w:before="240" w:after="60" w:line="276" w:lineRule="auto"/>
        <w:ind w:left="425" w:hanging="425"/>
        <w:rPr>
          <w:rFonts w:eastAsia="Times New Roman"/>
        </w:rPr>
      </w:pPr>
      <w:r w:rsidRPr="00433F13">
        <w:rPr>
          <w:rFonts w:eastAsia="Times New Roman"/>
        </w:rPr>
        <w:t>Regular backups of all data are performed to ensure data integrity and recovery in case of system failure.</w:t>
      </w:r>
    </w:p>
    <w:p w14:paraId="7FA43224" w14:textId="77777777" w:rsidR="00AF2A63" w:rsidRPr="00433F13" w:rsidRDefault="00AF2A63" w:rsidP="00AF2A63">
      <w:pPr>
        <w:pStyle w:val="ListParagraph"/>
        <w:widowControl/>
        <w:numPr>
          <w:ilvl w:val="0"/>
          <w:numId w:val="17"/>
        </w:numPr>
        <w:autoSpaceDE/>
        <w:autoSpaceDN/>
        <w:spacing w:before="240" w:after="60" w:line="276" w:lineRule="auto"/>
        <w:ind w:left="425" w:hanging="425"/>
        <w:rPr>
          <w:rFonts w:eastAsia="Times New Roman"/>
        </w:rPr>
      </w:pPr>
      <w:r w:rsidRPr="00433F13">
        <w:rPr>
          <w:rFonts w:eastAsia="Times New Roman"/>
        </w:rPr>
        <w:t>Data is aggregated and anonymized in reports to minimize the risk of identification of individuals.</w:t>
      </w:r>
    </w:p>
    <w:p w14:paraId="5924932D" w14:textId="77777777" w:rsidR="00AF2A63" w:rsidRPr="00433F13" w:rsidRDefault="00AF2A63" w:rsidP="00AF2A63">
      <w:pPr>
        <w:spacing w:before="240" w:after="60" w:line="276" w:lineRule="auto"/>
        <w:jc w:val="both"/>
        <w:rPr>
          <w:rFonts w:eastAsia="Times New Roman"/>
          <w:b/>
        </w:rPr>
      </w:pPr>
      <w:r w:rsidRPr="00433F13">
        <w:rPr>
          <w:rFonts w:eastAsia="Times New Roman"/>
          <w:b/>
        </w:rPr>
        <w:t>Access Controls:</w:t>
      </w:r>
    </w:p>
    <w:p w14:paraId="6B2F082D" w14:textId="77777777" w:rsidR="00AF2A63" w:rsidRPr="00433F13" w:rsidRDefault="00AF2A63" w:rsidP="00AF2A63">
      <w:pPr>
        <w:widowControl/>
        <w:numPr>
          <w:ilvl w:val="1"/>
          <w:numId w:val="10"/>
        </w:numPr>
        <w:autoSpaceDE/>
        <w:autoSpaceDN/>
        <w:spacing w:before="240" w:after="60" w:line="276" w:lineRule="auto"/>
        <w:ind w:left="425" w:hanging="425"/>
        <w:rPr>
          <w:rFonts w:eastAsia="Times New Roman"/>
        </w:rPr>
      </w:pPr>
      <w:r w:rsidRPr="00433F13">
        <w:rPr>
          <w:rFonts w:eastAsia="Times New Roman"/>
        </w:rPr>
        <w:t>Data access is restricted to authorized personnel only.</w:t>
      </w:r>
    </w:p>
    <w:p w14:paraId="06599698" w14:textId="77777777" w:rsidR="00AF2A63" w:rsidRPr="00433F13" w:rsidRDefault="00AF2A63" w:rsidP="00AF2A63">
      <w:pPr>
        <w:widowControl/>
        <w:numPr>
          <w:ilvl w:val="1"/>
          <w:numId w:val="10"/>
        </w:numPr>
        <w:autoSpaceDE/>
        <w:autoSpaceDN/>
        <w:spacing w:before="240" w:after="60" w:line="276" w:lineRule="auto"/>
        <w:ind w:left="425" w:hanging="425"/>
        <w:rPr>
          <w:rFonts w:eastAsia="Times New Roman"/>
        </w:rPr>
      </w:pPr>
      <w:r w:rsidRPr="00433F13">
        <w:rPr>
          <w:rFonts w:eastAsia="Times New Roman"/>
        </w:rPr>
        <w:lastRenderedPageBreak/>
        <w:t>Role-based access controls are implemented to ensure that only individuals with a legitimate need can access specific types of data.</w:t>
      </w:r>
    </w:p>
    <w:p w14:paraId="35F2FC97" w14:textId="77777777" w:rsidR="00AF2A63" w:rsidRPr="00433F13" w:rsidRDefault="00AF2A63" w:rsidP="00AF2A63">
      <w:pPr>
        <w:widowControl/>
        <w:numPr>
          <w:ilvl w:val="1"/>
          <w:numId w:val="10"/>
        </w:numPr>
        <w:autoSpaceDE/>
        <w:autoSpaceDN/>
        <w:spacing w:before="240" w:after="60" w:line="276" w:lineRule="auto"/>
        <w:ind w:left="425" w:hanging="425"/>
        <w:rPr>
          <w:rFonts w:eastAsia="Times New Roman"/>
        </w:rPr>
      </w:pPr>
      <w:r w:rsidRPr="00433F13">
        <w:rPr>
          <w:rFonts w:eastAsia="Times New Roman"/>
        </w:rPr>
        <w:t>All data access is logged and monitored to detect and respond to unauthorized access attempts.</w:t>
      </w:r>
    </w:p>
    <w:p w14:paraId="45D10F9C" w14:textId="77777777" w:rsidR="00AF2A63" w:rsidRPr="00433F13" w:rsidRDefault="00AF2A63" w:rsidP="00AF2A63">
      <w:pPr>
        <w:widowControl/>
        <w:numPr>
          <w:ilvl w:val="1"/>
          <w:numId w:val="10"/>
        </w:numPr>
        <w:autoSpaceDE/>
        <w:autoSpaceDN/>
        <w:spacing w:before="240" w:after="60" w:line="276" w:lineRule="auto"/>
        <w:ind w:left="425" w:hanging="425"/>
        <w:rPr>
          <w:rFonts w:eastAsia="Times New Roman"/>
        </w:rPr>
      </w:pPr>
      <w:r w:rsidRPr="00433F13">
        <w:rPr>
          <w:rFonts w:eastAsia="Times New Roman"/>
        </w:rPr>
        <w:t>Regular audits of access logs and security systems are performed to ensure compliance with security protocols.</w:t>
      </w:r>
    </w:p>
    <w:p w14:paraId="0050BCF3" w14:textId="77777777" w:rsidR="00AF2A63" w:rsidRPr="00433F13" w:rsidRDefault="00AF2A63" w:rsidP="00AF2A63">
      <w:pPr>
        <w:spacing w:before="240" w:after="60" w:line="276" w:lineRule="auto"/>
        <w:jc w:val="both"/>
        <w:rPr>
          <w:rFonts w:eastAsia="Times New Roman"/>
          <w:b/>
        </w:rPr>
      </w:pPr>
      <w:r w:rsidRPr="00433F13">
        <w:rPr>
          <w:rFonts w:eastAsia="Times New Roman"/>
          <w:b/>
        </w:rPr>
        <w:t>Data Retention:</w:t>
      </w:r>
    </w:p>
    <w:p w14:paraId="346D719F" w14:textId="77777777" w:rsidR="00AF2A63" w:rsidRPr="00433F13" w:rsidRDefault="00AF2A63" w:rsidP="00AF2A63">
      <w:pPr>
        <w:widowControl/>
        <w:numPr>
          <w:ilvl w:val="0"/>
          <w:numId w:val="15"/>
        </w:numPr>
        <w:autoSpaceDE/>
        <w:autoSpaceDN/>
        <w:spacing w:before="240" w:after="60" w:line="276" w:lineRule="auto"/>
        <w:ind w:left="425" w:hanging="425"/>
        <w:rPr>
          <w:rFonts w:eastAsia="Times New Roman"/>
        </w:rPr>
      </w:pPr>
      <w:r>
        <w:rPr>
          <w:rFonts w:eastAsia="Times New Roman"/>
        </w:rPr>
        <w:t>Sociodemographic</w:t>
      </w:r>
      <w:r w:rsidRPr="00433F13">
        <w:rPr>
          <w:rFonts w:eastAsia="Times New Roman"/>
        </w:rPr>
        <w:t xml:space="preserve"> data is retained to fulfill the regulatory or policy objectives with reference to the Document Retention and Destruction Policy.</w:t>
      </w:r>
    </w:p>
    <w:p w14:paraId="65ACB535" w14:textId="77777777" w:rsidR="00AF2A63" w:rsidRPr="00433F13" w:rsidRDefault="00AF2A63" w:rsidP="00AF2A63">
      <w:pPr>
        <w:widowControl/>
        <w:numPr>
          <w:ilvl w:val="0"/>
          <w:numId w:val="15"/>
        </w:numPr>
        <w:autoSpaceDE/>
        <w:autoSpaceDN/>
        <w:spacing w:before="240" w:after="60" w:line="276" w:lineRule="auto"/>
        <w:ind w:left="425" w:hanging="425"/>
        <w:rPr>
          <w:rFonts w:eastAsia="Times New Roman"/>
        </w:rPr>
      </w:pPr>
      <w:r w:rsidRPr="00433F13">
        <w:rPr>
          <w:rFonts w:eastAsia="Times New Roman"/>
        </w:rPr>
        <w:t>Data is securely destroyed or anonymized to prevent unauthorized use.</w:t>
      </w:r>
    </w:p>
    <w:p w14:paraId="2DB08F51" w14:textId="77777777" w:rsidR="00AF2A63" w:rsidRPr="00433F13" w:rsidRDefault="00AF2A63" w:rsidP="00AF2A63">
      <w:pPr>
        <w:spacing w:before="240" w:after="60" w:line="276" w:lineRule="auto"/>
        <w:ind w:left="567" w:hanging="567"/>
        <w:rPr>
          <w:rFonts w:eastAsia="Times New Roman"/>
          <w:b/>
        </w:rPr>
      </w:pPr>
      <w:r w:rsidRPr="00433F13">
        <w:rPr>
          <w:rFonts w:eastAsia="Times New Roman"/>
          <w:b/>
        </w:rPr>
        <w:t>Reporting</w:t>
      </w:r>
      <w:r>
        <w:rPr>
          <w:rFonts w:eastAsia="Times New Roman"/>
          <w:b/>
        </w:rPr>
        <w:t>,</w:t>
      </w:r>
      <w:r w:rsidRPr="00433F13">
        <w:rPr>
          <w:rFonts w:eastAsia="Times New Roman"/>
          <w:b/>
        </w:rPr>
        <w:t xml:space="preserve"> Accountability</w:t>
      </w:r>
      <w:r>
        <w:rPr>
          <w:rFonts w:eastAsia="Times New Roman"/>
          <w:b/>
        </w:rPr>
        <w:t xml:space="preserve"> and Communication</w:t>
      </w:r>
      <w:r w:rsidRPr="00433F13">
        <w:rPr>
          <w:rFonts w:eastAsia="Times New Roman"/>
          <w:b/>
        </w:rPr>
        <w:t>:</w:t>
      </w:r>
    </w:p>
    <w:p w14:paraId="109C0D05" w14:textId="008105C0" w:rsidR="00AF2A63" w:rsidRPr="007334D1" w:rsidRDefault="00AF2A63" w:rsidP="007334D1">
      <w:pPr>
        <w:pStyle w:val="ListParagraph"/>
        <w:widowControl/>
        <w:numPr>
          <w:ilvl w:val="0"/>
          <w:numId w:val="11"/>
        </w:numPr>
        <w:autoSpaceDE/>
        <w:autoSpaceDN/>
        <w:spacing w:before="240" w:after="60" w:line="276" w:lineRule="auto"/>
        <w:contextualSpacing/>
        <w:rPr>
          <w:rFonts w:eastAsia="Times New Roman"/>
        </w:rPr>
      </w:pPr>
      <w:r w:rsidRPr="00433F13">
        <w:rPr>
          <w:rFonts w:eastAsia="Times New Roman"/>
        </w:rPr>
        <w:t xml:space="preserve">Individual </w:t>
      </w:r>
      <w:r>
        <w:rPr>
          <w:rFonts w:eastAsia="Times New Roman"/>
        </w:rPr>
        <w:t>sociodemographic</w:t>
      </w:r>
      <w:r w:rsidRPr="00433F13">
        <w:rPr>
          <w:rFonts w:eastAsia="Times New Roman"/>
        </w:rPr>
        <w:t xml:space="preserve"> data is reported on the Public Register as required by the </w:t>
      </w:r>
      <w:r w:rsidRPr="00433F13">
        <w:t>Regulated Health Professions Act, 1991 and the Occupational Therapy Act, 1991.</w:t>
      </w:r>
    </w:p>
    <w:p w14:paraId="00D5935D" w14:textId="77777777" w:rsidR="007334D1" w:rsidRPr="007334D1" w:rsidRDefault="007334D1" w:rsidP="007334D1">
      <w:pPr>
        <w:pStyle w:val="ListParagraph"/>
        <w:widowControl/>
        <w:autoSpaceDE/>
        <w:autoSpaceDN/>
        <w:spacing w:before="240" w:after="60" w:line="276" w:lineRule="auto"/>
        <w:ind w:left="360" w:firstLine="0"/>
        <w:contextualSpacing/>
        <w:rPr>
          <w:rFonts w:eastAsia="Times New Roman"/>
        </w:rPr>
      </w:pPr>
    </w:p>
    <w:p w14:paraId="4DAC30CA" w14:textId="77777777" w:rsidR="00AF2A63" w:rsidRPr="00433F13" w:rsidRDefault="00AF2A63" w:rsidP="00AF2A63">
      <w:pPr>
        <w:pStyle w:val="ListParagraph"/>
        <w:widowControl/>
        <w:numPr>
          <w:ilvl w:val="0"/>
          <w:numId w:val="11"/>
        </w:numPr>
        <w:autoSpaceDE/>
        <w:autoSpaceDN/>
        <w:spacing w:before="240" w:after="60" w:line="276" w:lineRule="auto"/>
        <w:contextualSpacing/>
        <w:rPr>
          <w:rFonts w:eastAsia="Times New Roman"/>
        </w:rPr>
      </w:pPr>
      <w:r w:rsidRPr="00433F13">
        <w:rPr>
          <w:rFonts w:eastAsia="Times New Roman"/>
        </w:rPr>
        <w:t xml:space="preserve">Aggregate and anonymous data is provided in HHR data reports under agreements with CIHI and other government agencies.  </w:t>
      </w:r>
    </w:p>
    <w:p w14:paraId="61D88328" w14:textId="77777777" w:rsidR="00AF2A63" w:rsidRDefault="00AF2A63" w:rsidP="00AF2A63">
      <w:pPr>
        <w:widowControl/>
        <w:numPr>
          <w:ilvl w:val="0"/>
          <w:numId w:val="11"/>
        </w:numPr>
        <w:autoSpaceDE/>
        <w:autoSpaceDN/>
        <w:spacing w:before="240" w:after="60" w:line="276" w:lineRule="auto"/>
        <w:ind w:left="425" w:hanging="425"/>
        <w:rPr>
          <w:rFonts w:eastAsia="Times New Roman"/>
        </w:rPr>
      </w:pPr>
      <w:r w:rsidRPr="00433F13">
        <w:rPr>
          <w:rFonts w:eastAsia="Times New Roman"/>
        </w:rPr>
        <w:t>As part of the strategic plan</w:t>
      </w:r>
      <w:r>
        <w:rPr>
          <w:rFonts w:eastAsia="Times New Roman"/>
        </w:rPr>
        <w:t xml:space="preserve">, the College:  </w:t>
      </w:r>
    </w:p>
    <w:p w14:paraId="4A2C8433" w14:textId="77777777" w:rsidR="00AF2A63" w:rsidRDefault="00AF2A63" w:rsidP="00AF2A63">
      <w:pPr>
        <w:widowControl/>
        <w:numPr>
          <w:ilvl w:val="1"/>
          <w:numId w:val="11"/>
        </w:numPr>
        <w:autoSpaceDE/>
        <w:autoSpaceDN/>
        <w:spacing w:before="240" w:after="60" w:line="276" w:lineRule="auto"/>
        <w:rPr>
          <w:rFonts w:eastAsia="Times New Roman"/>
        </w:rPr>
      </w:pPr>
      <w:r>
        <w:rPr>
          <w:rFonts w:eastAsia="Times New Roman"/>
        </w:rPr>
        <w:t>Shares</w:t>
      </w:r>
      <w:r w:rsidRPr="00433F13">
        <w:rPr>
          <w:rFonts w:eastAsia="Times New Roman"/>
        </w:rPr>
        <w:t xml:space="preserve"> aggregate data</w:t>
      </w:r>
      <w:r>
        <w:rPr>
          <w:rFonts w:eastAsia="Times New Roman"/>
        </w:rPr>
        <w:t xml:space="preserve"> and analysis</w:t>
      </w:r>
      <w:r w:rsidRPr="00433F13">
        <w:rPr>
          <w:rFonts w:eastAsia="Times New Roman"/>
        </w:rPr>
        <w:t xml:space="preserve"> with</w:t>
      </w:r>
      <w:r>
        <w:rPr>
          <w:rFonts w:eastAsia="Times New Roman"/>
        </w:rPr>
        <w:t xml:space="preserve"> </w:t>
      </w:r>
      <w:r w:rsidRPr="00433F13">
        <w:rPr>
          <w:rFonts w:eastAsia="Times New Roman"/>
        </w:rPr>
        <w:t xml:space="preserve">registrants and system partners to impact both regulatory and healthcare system outcomes. </w:t>
      </w:r>
    </w:p>
    <w:p w14:paraId="28D87D3C" w14:textId="77777777" w:rsidR="00AF2A63" w:rsidRPr="00582615" w:rsidRDefault="00AF2A63" w:rsidP="00AF2A63">
      <w:pPr>
        <w:widowControl/>
        <w:numPr>
          <w:ilvl w:val="1"/>
          <w:numId w:val="11"/>
        </w:numPr>
        <w:autoSpaceDE/>
        <w:autoSpaceDN/>
        <w:spacing w:before="240" w:after="60" w:line="276" w:lineRule="auto"/>
        <w:rPr>
          <w:rFonts w:eastAsia="Times New Roman"/>
        </w:rPr>
      </w:pPr>
      <w:r>
        <w:rPr>
          <w:rFonts w:eastAsia="Times New Roman"/>
        </w:rPr>
        <w:t>Engages</w:t>
      </w:r>
      <w:r w:rsidRPr="00582615">
        <w:rPr>
          <w:rFonts w:eastAsia="Times New Roman"/>
        </w:rPr>
        <w:t xml:space="preserve"> in multi-directional communications with people and registrants with “lived reality” including but not limited to</w:t>
      </w:r>
      <w:r>
        <w:rPr>
          <w:rFonts w:eastAsia="Times New Roman"/>
        </w:rPr>
        <w:t>:</w:t>
      </w:r>
      <w:r w:rsidRPr="00582615">
        <w:rPr>
          <w:rFonts w:eastAsia="Times New Roman"/>
        </w:rPr>
        <w:t xml:space="preserve"> key community advisors; Citizens’ Advisory Group; the Equity Perspectives and Indigenous Insights Advisory Committees.  </w:t>
      </w:r>
    </w:p>
    <w:p w14:paraId="14491F12" w14:textId="77777777" w:rsidR="00AF2A63" w:rsidRDefault="00AF2A63" w:rsidP="00AF2A63">
      <w:pPr>
        <w:widowControl/>
        <w:numPr>
          <w:ilvl w:val="0"/>
          <w:numId w:val="11"/>
        </w:numPr>
        <w:autoSpaceDE/>
        <w:autoSpaceDN/>
        <w:spacing w:before="240" w:after="60" w:line="276" w:lineRule="auto"/>
        <w:ind w:left="425" w:hanging="425"/>
        <w:rPr>
          <w:rFonts w:eastAsia="Times New Roman"/>
        </w:rPr>
      </w:pPr>
      <w:r>
        <w:rPr>
          <w:rFonts w:eastAsia="Times New Roman"/>
        </w:rPr>
        <w:t xml:space="preserve">Contributions by people and communities are acknowledged and recognized as part of regular communications and processes including but not limited to meeting agendas, reports and newsletter items.  </w:t>
      </w:r>
    </w:p>
    <w:p w14:paraId="457454D6" w14:textId="7D3096ED" w:rsidR="00AF2A63" w:rsidRPr="007334D1" w:rsidRDefault="00AF2A63" w:rsidP="00AF2A63">
      <w:pPr>
        <w:widowControl/>
        <w:numPr>
          <w:ilvl w:val="0"/>
          <w:numId w:val="11"/>
        </w:numPr>
        <w:autoSpaceDE/>
        <w:autoSpaceDN/>
        <w:spacing w:before="240" w:after="60" w:line="276" w:lineRule="auto"/>
        <w:ind w:left="425" w:hanging="425"/>
        <w:rPr>
          <w:rFonts w:eastAsia="Times New Roman"/>
        </w:rPr>
      </w:pPr>
      <w:r w:rsidRPr="00433F13">
        <w:rPr>
          <w:rFonts w:eastAsia="Times New Roman"/>
        </w:rPr>
        <w:t xml:space="preserve">Questions or concerns from the public and registrants regarding the use of </w:t>
      </w:r>
      <w:r>
        <w:rPr>
          <w:rFonts w:eastAsia="Times New Roman"/>
        </w:rPr>
        <w:t>sociodemographic</w:t>
      </w:r>
      <w:r w:rsidRPr="00433F13">
        <w:rPr>
          <w:rFonts w:eastAsia="Times New Roman"/>
        </w:rPr>
        <w:t xml:space="preserve"> data are escalated to the Program Director and Privacy Officer.</w:t>
      </w:r>
    </w:p>
    <w:p w14:paraId="4295FCC2" w14:textId="77777777" w:rsidR="007334D1" w:rsidRDefault="007334D1">
      <w:pPr>
        <w:rPr>
          <w:rFonts w:eastAsia="Times New Roman"/>
          <w:b/>
          <w:bCs/>
          <w:color w:val="005EB8"/>
        </w:rPr>
      </w:pPr>
      <w:r>
        <w:rPr>
          <w:rFonts w:eastAsia="Times New Roman"/>
          <w:b/>
          <w:bCs/>
          <w:color w:val="005EB8"/>
        </w:rPr>
        <w:br w:type="page"/>
      </w:r>
    </w:p>
    <w:p w14:paraId="1AE77BF2" w14:textId="4C1AFE2E" w:rsidR="00AF2A63" w:rsidRPr="007334D1" w:rsidRDefault="00AF2A63" w:rsidP="007334D1">
      <w:pPr>
        <w:pStyle w:val="Heading2"/>
      </w:pPr>
      <w:r w:rsidRPr="007334D1">
        <w:lastRenderedPageBreak/>
        <w:t>Confidentiality and Privacy Protection</w:t>
      </w:r>
    </w:p>
    <w:p w14:paraId="3D8AC376" w14:textId="77777777" w:rsidR="00AF2A63" w:rsidRPr="00433F13" w:rsidRDefault="00AF2A63" w:rsidP="00AF2A63">
      <w:pPr>
        <w:spacing w:before="240" w:after="60" w:line="276" w:lineRule="auto"/>
        <w:jc w:val="both"/>
        <w:rPr>
          <w:rFonts w:eastAsia="Times New Roman"/>
          <w:b/>
        </w:rPr>
      </w:pPr>
      <w:r w:rsidRPr="00433F13">
        <w:rPr>
          <w:rFonts w:eastAsia="Times New Roman"/>
          <w:b/>
        </w:rPr>
        <w:t>Confidentiality Agreements:</w:t>
      </w:r>
    </w:p>
    <w:p w14:paraId="0F7969D3" w14:textId="77777777" w:rsidR="00AF2A63" w:rsidRPr="00433F13" w:rsidRDefault="00AF2A63" w:rsidP="00AF2A63">
      <w:pPr>
        <w:widowControl/>
        <w:numPr>
          <w:ilvl w:val="1"/>
          <w:numId w:val="12"/>
        </w:numPr>
        <w:autoSpaceDE/>
        <w:autoSpaceDN/>
        <w:spacing w:before="240" w:after="60" w:line="276" w:lineRule="auto"/>
        <w:ind w:left="425" w:hanging="425"/>
        <w:rPr>
          <w:rFonts w:eastAsia="Times New Roman"/>
        </w:rPr>
      </w:pPr>
      <w:r w:rsidRPr="00433F13">
        <w:rPr>
          <w:rFonts w:eastAsia="Times New Roman"/>
        </w:rPr>
        <w:t xml:space="preserve">All staff members and third-party vendors with access to </w:t>
      </w:r>
      <w:r>
        <w:rPr>
          <w:rFonts w:eastAsia="Times New Roman"/>
        </w:rPr>
        <w:t>sociodemographic</w:t>
      </w:r>
      <w:r w:rsidRPr="00433F13">
        <w:rPr>
          <w:rFonts w:eastAsia="Times New Roman"/>
        </w:rPr>
        <w:t xml:space="preserve"> data sign confidentiality agreements to protect sensitive information.</w:t>
      </w:r>
    </w:p>
    <w:p w14:paraId="3FDD82F8" w14:textId="77777777" w:rsidR="00AF2A63" w:rsidRPr="00433F13" w:rsidRDefault="00AF2A63" w:rsidP="00AF2A63">
      <w:pPr>
        <w:widowControl/>
        <w:numPr>
          <w:ilvl w:val="1"/>
          <w:numId w:val="12"/>
        </w:numPr>
        <w:autoSpaceDE/>
        <w:autoSpaceDN/>
        <w:spacing w:before="240" w:after="60" w:line="276" w:lineRule="auto"/>
        <w:ind w:left="425" w:hanging="425"/>
        <w:rPr>
          <w:rFonts w:eastAsia="Times New Roman"/>
        </w:rPr>
      </w:pPr>
      <w:r w:rsidRPr="00433F13">
        <w:rPr>
          <w:rFonts w:eastAsia="Times New Roman"/>
        </w:rPr>
        <w:t>Any breaches of confidentiality are immediately reported and addressed in accordance with established protocols with regards to Privacy.</w:t>
      </w:r>
    </w:p>
    <w:p w14:paraId="2FF62A3A" w14:textId="77777777" w:rsidR="00AF2A63" w:rsidRPr="00433F13" w:rsidRDefault="00AF2A63" w:rsidP="00AF2A63">
      <w:pPr>
        <w:spacing w:before="240" w:after="60" w:line="276" w:lineRule="auto"/>
        <w:ind w:left="567" w:hanging="567"/>
        <w:rPr>
          <w:rFonts w:eastAsia="Times New Roman"/>
          <w:b/>
        </w:rPr>
      </w:pPr>
      <w:r w:rsidRPr="00433F13">
        <w:rPr>
          <w:rFonts w:eastAsia="Times New Roman"/>
          <w:b/>
        </w:rPr>
        <w:t>Privacy Rights:</w:t>
      </w:r>
    </w:p>
    <w:p w14:paraId="11BECD83" w14:textId="77777777" w:rsidR="00AF2A63" w:rsidRPr="00433F13" w:rsidRDefault="00AF2A63" w:rsidP="00AF2A63">
      <w:pPr>
        <w:widowControl/>
        <w:numPr>
          <w:ilvl w:val="1"/>
          <w:numId w:val="12"/>
        </w:numPr>
        <w:autoSpaceDE/>
        <w:autoSpaceDN/>
        <w:spacing w:before="240" w:after="60" w:line="276" w:lineRule="auto"/>
        <w:ind w:left="425" w:hanging="425"/>
        <w:rPr>
          <w:rFonts w:eastAsia="Times New Roman"/>
        </w:rPr>
      </w:pPr>
      <w:r w:rsidRPr="00433F13">
        <w:rPr>
          <w:rFonts w:eastAsia="Times New Roman"/>
        </w:rPr>
        <w:t xml:space="preserve">Individuals are informed of their right to access, correct, or withdraw their </w:t>
      </w:r>
      <w:r>
        <w:rPr>
          <w:rFonts w:eastAsia="Times New Roman"/>
        </w:rPr>
        <w:t>sociodemographic</w:t>
      </w:r>
      <w:r w:rsidRPr="00433F13">
        <w:rPr>
          <w:rFonts w:eastAsia="Times New Roman"/>
        </w:rPr>
        <w:t xml:space="preserve"> data at any time, in compliance with applicable data protection laws.</w:t>
      </w:r>
    </w:p>
    <w:p w14:paraId="5FDED748" w14:textId="77777777" w:rsidR="00AF2A63" w:rsidRPr="004B29CD" w:rsidRDefault="00AF2A63" w:rsidP="00AF2A63">
      <w:pPr>
        <w:widowControl/>
        <w:numPr>
          <w:ilvl w:val="1"/>
          <w:numId w:val="12"/>
        </w:numPr>
        <w:autoSpaceDE/>
        <w:autoSpaceDN/>
        <w:spacing w:before="240" w:after="60" w:line="276" w:lineRule="auto"/>
        <w:ind w:left="425" w:hanging="425"/>
        <w:rPr>
          <w:rFonts w:eastAsia="Times New Roman"/>
        </w:rPr>
      </w:pPr>
      <w:r w:rsidRPr="00433F13">
        <w:rPr>
          <w:rFonts w:eastAsia="Times New Roman"/>
        </w:rPr>
        <w:t>Individuals can request their data or file complaints about how their data is being handled by contacting the Program Director and Privacy Officer.</w:t>
      </w:r>
    </w:p>
    <w:p w14:paraId="02F5C3F2" w14:textId="77777777" w:rsidR="00AF2A63" w:rsidRPr="00433F13" w:rsidRDefault="00AF2A63" w:rsidP="007334D1">
      <w:pPr>
        <w:pStyle w:val="Heading2"/>
      </w:pPr>
      <w:r w:rsidRPr="00433F13">
        <w:t>Data Breach Response</w:t>
      </w:r>
    </w:p>
    <w:p w14:paraId="296AC5C6" w14:textId="77777777" w:rsidR="00AF2A63" w:rsidRPr="00433F13" w:rsidRDefault="00AF2A63" w:rsidP="00AF2A63">
      <w:pPr>
        <w:spacing w:before="240" w:after="60" w:line="276" w:lineRule="auto"/>
        <w:jc w:val="both"/>
        <w:rPr>
          <w:rFonts w:eastAsia="Times New Roman"/>
          <w:b/>
        </w:rPr>
      </w:pPr>
      <w:r w:rsidRPr="00433F13">
        <w:rPr>
          <w:rFonts w:eastAsia="Times New Roman"/>
          <w:b/>
        </w:rPr>
        <w:t>Incident Reporting:</w:t>
      </w:r>
    </w:p>
    <w:p w14:paraId="003212E1" w14:textId="77777777" w:rsidR="00AF2A63" w:rsidRPr="00433F13" w:rsidRDefault="00AF2A63" w:rsidP="00AF2A63">
      <w:pPr>
        <w:widowControl/>
        <w:numPr>
          <w:ilvl w:val="1"/>
          <w:numId w:val="13"/>
        </w:numPr>
        <w:autoSpaceDE/>
        <w:autoSpaceDN/>
        <w:spacing w:before="240" w:after="60" w:line="276" w:lineRule="auto"/>
        <w:ind w:left="425" w:hanging="425"/>
        <w:rPr>
          <w:rFonts w:eastAsia="Times New Roman"/>
        </w:rPr>
      </w:pPr>
      <w:r w:rsidRPr="00433F13">
        <w:rPr>
          <w:rFonts w:eastAsia="Times New Roman"/>
        </w:rPr>
        <w:t xml:space="preserve">In the event of a data breach or security incident, the Program Director and Privacy Officer is notified immediately.  </w:t>
      </w:r>
    </w:p>
    <w:p w14:paraId="1C0AF2F8" w14:textId="77777777" w:rsidR="00AF2A63" w:rsidRPr="00433F13" w:rsidRDefault="00AF2A63" w:rsidP="00AF2A63">
      <w:pPr>
        <w:widowControl/>
        <w:numPr>
          <w:ilvl w:val="1"/>
          <w:numId w:val="13"/>
        </w:numPr>
        <w:autoSpaceDE/>
        <w:autoSpaceDN/>
        <w:spacing w:before="240" w:after="60" w:line="276" w:lineRule="auto"/>
        <w:ind w:left="425" w:hanging="425"/>
        <w:rPr>
          <w:rFonts w:eastAsia="Times New Roman"/>
        </w:rPr>
      </w:pPr>
      <w:r w:rsidRPr="00433F13">
        <w:rPr>
          <w:rFonts w:eastAsia="Times New Roman"/>
        </w:rPr>
        <w:t>Affected individuals are notified promptly in accordance with legal requirements and the Privacy Code.</w:t>
      </w:r>
    </w:p>
    <w:p w14:paraId="6B17D488" w14:textId="77777777" w:rsidR="00AF2A63" w:rsidRPr="00433F13" w:rsidRDefault="00AF2A63" w:rsidP="00AF2A63">
      <w:pPr>
        <w:widowControl/>
        <w:numPr>
          <w:ilvl w:val="1"/>
          <w:numId w:val="13"/>
        </w:numPr>
        <w:autoSpaceDE/>
        <w:autoSpaceDN/>
        <w:spacing w:before="240" w:after="60" w:line="276" w:lineRule="auto"/>
        <w:ind w:left="425" w:hanging="425"/>
        <w:rPr>
          <w:rFonts w:eastAsia="Times New Roman"/>
        </w:rPr>
      </w:pPr>
      <w:r w:rsidRPr="00433F13">
        <w:rPr>
          <w:rFonts w:eastAsia="Times New Roman"/>
        </w:rPr>
        <w:t>Necessary remedial actions are taken to mitigate harm under the direction of the Program Director.</w:t>
      </w:r>
    </w:p>
    <w:p w14:paraId="0C4155BA" w14:textId="77777777" w:rsidR="00AF2A63" w:rsidRPr="00433F13" w:rsidRDefault="00AF2A63" w:rsidP="00AF2A63">
      <w:pPr>
        <w:spacing w:before="240" w:after="60" w:line="276" w:lineRule="auto"/>
        <w:ind w:left="567" w:hanging="567"/>
        <w:jc w:val="both"/>
        <w:rPr>
          <w:rFonts w:eastAsia="Times New Roman"/>
          <w:b/>
        </w:rPr>
      </w:pPr>
      <w:r w:rsidRPr="00433F13">
        <w:rPr>
          <w:rFonts w:eastAsia="Times New Roman"/>
          <w:b/>
        </w:rPr>
        <w:t>Corrective Actions:</w:t>
      </w:r>
    </w:p>
    <w:p w14:paraId="41827ED6" w14:textId="77777777" w:rsidR="00AF2A63" w:rsidRPr="00433F13" w:rsidRDefault="00AF2A63" w:rsidP="00AF2A63">
      <w:pPr>
        <w:widowControl/>
        <w:numPr>
          <w:ilvl w:val="1"/>
          <w:numId w:val="18"/>
        </w:numPr>
        <w:autoSpaceDE/>
        <w:autoSpaceDN/>
        <w:spacing w:before="240" w:after="60" w:line="276" w:lineRule="auto"/>
        <w:ind w:left="425" w:hanging="425"/>
        <w:rPr>
          <w:rFonts w:eastAsia="Times New Roman"/>
        </w:rPr>
      </w:pPr>
      <w:r w:rsidRPr="00433F13">
        <w:rPr>
          <w:rFonts w:eastAsia="Times New Roman"/>
        </w:rPr>
        <w:t>Following any breach or failure in data management, the College will review and update policies and procedures to prevent similar incidents from occurring in the future.</w:t>
      </w:r>
    </w:p>
    <w:p w14:paraId="4648AF69" w14:textId="77777777" w:rsidR="00AF2A63" w:rsidRPr="005219B4" w:rsidRDefault="00AF2A63" w:rsidP="00AF2A63">
      <w:pPr>
        <w:widowControl/>
        <w:numPr>
          <w:ilvl w:val="1"/>
          <w:numId w:val="18"/>
        </w:numPr>
        <w:autoSpaceDE/>
        <w:autoSpaceDN/>
        <w:spacing w:before="240" w:after="60" w:line="276" w:lineRule="auto"/>
        <w:ind w:left="425" w:hanging="425"/>
        <w:rPr>
          <w:rFonts w:eastAsia="Times New Roman"/>
        </w:rPr>
      </w:pPr>
      <w:r w:rsidRPr="00433F13">
        <w:rPr>
          <w:rFonts w:eastAsia="Times New Roman"/>
        </w:rPr>
        <w:t>Staff training is updated regularly to reinforce best practices in data security and confidentiality.</w:t>
      </w:r>
    </w:p>
    <w:p w14:paraId="6D7E168C" w14:textId="77777777" w:rsidR="00AF2A63" w:rsidRPr="00433F13" w:rsidRDefault="00AF2A63" w:rsidP="007334D1">
      <w:pPr>
        <w:pStyle w:val="Heading2"/>
      </w:pPr>
      <w:r w:rsidRPr="00433F13">
        <w:t>Compliance and Enforcement</w:t>
      </w:r>
    </w:p>
    <w:p w14:paraId="1933FD09" w14:textId="77777777" w:rsidR="00AF2A63" w:rsidRPr="00433F13" w:rsidRDefault="00AF2A63" w:rsidP="00AF2A63">
      <w:pPr>
        <w:widowControl/>
        <w:numPr>
          <w:ilvl w:val="1"/>
          <w:numId w:val="14"/>
        </w:numPr>
        <w:autoSpaceDE/>
        <w:autoSpaceDN/>
        <w:spacing w:before="240" w:after="60" w:line="276" w:lineRule="auto"/>
        <w:ind w:left="425" w:hanging="425"/>
        <w:rPr>
          <w:rFonts w:eastAsia="Times New Roman"/>
        </w:rPr>
      </w:pPr>
      <w:r w:rsidRPr="00433F13">
        <w:rPr>
          <w:rFonts w:eastAsia="Times New Roman"/>
        </w:rPr>
        <w:t>The College conducts regular audits to ensure compliance with this policy and relevant data protection laws.</w:t>
      </w:r>
    </w:p>
    <w:p w14:paraId="7607D6A3" w14:textId="55E035B9" w:rsidR="00AF2A63" w:rsidRPr="007334D1" w:rsidRDefault="00AF2A63" w:rsidP="007334D1">
      <w:pPr>
        <w:widowControl/>
        <w:numPr>
          <w:ilvl w:val="1"/>
          <w:numId w:val="14"/>
        </w:numPr>
        <w:autoSpaceDE/>
        <w:autoSpaceDN/>
        <w:spacing w:before="240" w:after="60" w:line="276" w:lineRule="auto"/>
        <w:ind w:left="425" w:hanging="425"/>
        <w:rPr>
          <w:rFonts w:eastAsia="Times New Roman"/>
        </w:rPr>
      </w:pPr>
      <w:r w:rsidRPr="00433F13">
        <w:rPr>
          <w:rFonts w:eastAsia="Times New Roman"/>
        </w:rPr>
        <w:t>Any violations of the policy, including improper data handling or security breaches, are addressed promptly and may result in disciplinary action.</w:t>
      </w:r>
    </w:p>
    <w:p w14:paraId="25C233D0" w14:textId="77777777" w:rsidR="00AF2A63" w:rsidRPr="00433F13" w:rsidRDefault="00AF2A63" w:rsidP="007334D1">
      <w:pPr>
        <w:pStyle w:val="Heading2"/>
      </w:pPr>
      <w:r w:rsidRPr="00433F13">
        <w:lastRenderedPageBreak/>
        <w:t>Policy Review and Updates</w:t>
      </w:r>
    </w:p>
    <w:p w14:paraId="264A6B23" w14:textId="77777777" w:rsidR="00AF2A63" w:rsidRDefault="00AF2A63" w:rsidP="00AF2A63">
      <w:pPr>
        <w:spacing w:before="240" w:after="60" w:line="276" w:lineRule="auto"/>
        <w:rPr>
          <w:rFonts w:eastAsia="Times New Roman"/>
        </w:rPr>
      </w:pPr>
      <w:r w:rsidRPr="00433F13">
        <w:rPr>
          <w:rFonts w:eastAsia="Times New Roman"/>
        </w:rPr>
        <w:t xml:space="preserve">This policy will be reviewed and updated annually, or more frequently, if necessary, to account for changes in legal, technological, or ethical standards related to </w:t>
      </w:r>
      <w:r>
        <w:rPr>
          <w:rFonts w:eastAsia="Times New Roman"/>
        </w:rPr>
        <w:t>sociodemographic</w:t>
      </w:r>
      <w:r w:rsidRPr="00433F13">
        <w:rPr>
          <w:rFonts w:eastAsia="Times New Roman"/>
        </w:rPr>
        <w:t xml:space="preserve"> data collection, storage, and management.</w:t>
      </w:r>
    </w:p>
    <w:p w14:paraId="0FFCD684" w14:textId="77777777" w:rsidR="00AF2A63" w:rsidRPr="00433F13" w:rsidRDefault="00AF2A63" w:rsidP="007334D1">
      <w:pPr>
        <w:pStyle w:val="Heading2"/>
      </w:pPr>
      <w:r w:rsidRPr="00433F13">
        <w:t>Legal Requirement and Resources:</w:t>
      </w:r>
    </w:p>
    <w:p w14:paraId="71BE2D4A" w14:textId="77777777" w:rsidR="00AF2A63" w:rsidRPr="00433F13" w:rsidRDefault="00AF2A63" w:rsidP="00AF2A63">
      <w:pPr>
        <w:pStyle w:val="Default"/>
        <w:numPr>
          <w:ilvl w:val="0"/>
          <w:numId w:val="20"/>
        </w:numPr>
        <w:spacing w:before="240" w:after="60" w:line="276" w:lineRule="auto"/>
      </w:pPr>
      <w:bookmarkStart w:id="12" w:name="_Hlk189472890"/>
      <w:r w:rsidRPr="00433F13">
        <w:rPr>
          <w:sz w:val="22"/>
          <w:szCs w:val="22"/>
        </w:rPr>
        <w:t xml:space="preserve">Canadian Institute for Health Information Minimum Health Human Resources Data Standard  </w:t>
      </w:r>
      <w:bookmarkStart w:id="13" w:name="_Hlk189471909"/>
      <w:r>
        <w:rPr>
          <w:rFonts w:ascii="TradeGothic" w:hAnsi="TradeGothic" w:cs="TradeGothic"/>
          <w:lang w:val="en-CA"/>
        </w:rPr>
        <w:fldChar w:fldCharType="begin"/>
      </w:r>
      <w:r>
        <w:instrText>HYPERLINK "https://www.cihi.ca/sites/default/files/document/hhr-mds-data-standard-infosheet-en.pdf" \h</w:instrText>
      </w:r>
      <w:r>
        <w:rPr>
          <w:rFonts w:ascii="TradeGothic" w:hAnsi="TradeGothic" w:cs="TradeGothic"/>
          <w:lang w:val="en-CA"/>
        </w:rPr>
      </w:r>
      <w:r>
        <w:rPr>
          <w:rFonts w:ascii="TradeGothic" w:hAnsi="TradeGothic" w:cs="TradeGothic"/>
          <w:lang w:val="en-CA"/>
        </w:rPr>
        <w:fldChar w:fldCharType="separate"/>
      </w:r>
      <w:r w:rsidRPr="00433F13">
        <w:rPr>
          <w:rStyle w:val="Hyperlink"/>
          <w:sz w:val="22"/>
          <w:szCs w:val="22"/>
        </w:rPr>
        <w:t>About the 2022 Health Human Resources Minimum Data Set Data Standard</w:t>
      </w:r>
      <w:r>
        <w:rPr>
          <w:rStyle w:val="Hyperlink"/>
          <w:sz w:val="22"/>
          <w:szCs w:val="22"/>
        </w:rPr>
        <w:fldChar w:fldCharType="end"/>
      </w:r>
    </w:p>
    <w:p w14:paraId="27DC5796" w14:textId="77777777" w:rsidR="00AF2A63" w:rsidRPr="005C10B3" w:rsidRDefault="00AF2A63" w:rsidP="00AF2A63">
      <w:pPr>
        <w:pStyle w:val="Default"/>
        <w:numPr>
          <w:ilvl w:val="0"/>
          <w:numId w:val="19"/>
        </w:numPr>
        <w:spacing w:before="240" w:after="60" w:line="276" w:lineRule="auto"/>
        <w:rPr>
          <w:bCs/>
          <w:sz w:val="22"/>
          <w:szCs w:val="22"/>
        </w:rPr>
      </w:pPr>
      <w:bookmarkStart w:id="14" w:name="_Hlk189472716"/>
      <w:bookmarkEnd w:id="12"/>
      <w:bookmarkEnd w:id="13"/>
      <w:r w:rsidRPr="00433F13">
        <w:rPr>
          <w:bCs/>
          <w:sz w:val="22"/>
          <w:szCs w:val="22"/>
        </w:rPr>
        <w:t xml:space="preserve">The </w:t>
      </w:r>
      <w:r w:rsidRPr="00433F13">
        <w:rPr>
          <w:bCs/>
          <w:i/>
          <w:iCs/>
          <w:sz w:val="22"/>
          <w:szCs w:val="22"/>
        </w:rPr>
        <w:t>Regulated Health Professions Act, 1991 (RHPA</w:t>
      </w:r>
      <w:r w:rsidRPr="00433F13">
        <w:rPr>
          <w:bCs/>
          <w:sz w:val="22"/>
          <w:szCs w:val="22"/>
        </w:rPr>
        <w:t>), allows health regulatory colleges to collect personal information from members, “as reasonably necessary for the purpose of health human resource planning or research”.</w:t>
      </w:r>
      <w:bookmarkEnd w:id="14"/>
    </w:p>
    <w:p w14:paraId="4B18D7F4" w14:textId="77777777" w:rsidR="00AF2A63" w:rsidRPr="000C617C" w:rsidRDefault="00AF2A63" w:rsidP="00AF2A63">
      <w:pPr>
        <w:pStyle w:val="PolicyandProcedureHeading"/>
        <w:numPr>
          <w:ilvl w:val="0"/>
          <w:numId w:val="19"/>
        </w:numPr>
        <w:spacing w:after="60" w:line="276" w:lineRule="auto"/>
        <w:jc w:val="left"/>
        <w:rPr>
          <w:rFonts w:ascii="Arial" w:eastAsia="Arial Narrow" w:hAnsi="Arial" w:cs="Arial"/>
          <w:b w:val="0"/>
          <w:bCs w:val="0"/>
          <w:sz w:val="22"/>
          <w:szCs w:val="22"/>
        </w:rPr>
      </w:pPr>
      <w:r w:rsidRPr="000C617C">
        <w:rPr>
          <w:rFonts w:ascii="Arial" w:eastAsia="Arial Narrow" w:hAnsi="Arial" w:cs="Arial"/>
          <w:b w:val="0"/>
          <w:bCs w:val="0"/>
          <w:sz w:val="22"/>
          <w:szCs w:val="22"/>
        </w:rPr>
        <w:t xml:space="preserve">Constitution Act, 1982, Section 35 (2) </w:t>
      </w:r>
    </w:p>
    <w:p w14:paraId="132189E7" w14:textId="77777777" w:rsidR="00AF2A63" w:rsidRPr="00433F13" w:rsidRDefault="00AF2A63" w:rsidP="00AF2A63">
      <w:pPr>
        <w:pStyle w:val="PolicyandProcedureHeading"/>
        <w:numPr>
          <w:ilvl w:val="0"/>
          <w:numId w:val="19"/>
        </w:numPr>
        <w:spacing w:after="60" w:line="276" w:lineRule="auto"/>
        <w:jc w:val="left"/>
        <w:rPr>
          <w:rFonts w:ascii="Arial" w:eastAsia="Arial Narrow" w:hAnsi="Arial" w:cs="Arial"/>
          <w:b w:val="0"/>
          <w:bCs w:val="0"/>
          <w:sz w:val="22"/>
          <w:szCs w:val="22"/>
        </w:rPr>
      </w:pPr>
      <w:r w:rsidRPr="00433F13">
        <w:rPr>
          <w:rFonts w:ascii="Arial" w:eastAsia="Arial Narrow" w:hAnsi="Arial" w:cs="Arial"/>
          <w:b w:val="0"/>
          <w:bCs w:val="0"/>
          <w:sz w:val="22"/>
          <w:szCs w:val="22"/>
          <w:lang w:val="en-CA"/>
        </w:rPr>
        <w:t>The Ontario Human Rights Commission (OHRC) notes that Canada’s human rights legislative framework supports collection of such data on code grounds for a code-consistence purpose.</w:t>
      </w:r>
    </w:p>
    <w:p w14:paraId="08B429BB" w14:textId="77777777" w:rsidR="00AF2A63" w:rsidRPr="00A831AE" w:rsidRDefault="00AF2A63" w:rsidP="00AF2A63">
      <w:pPr>
        <w:pStyle w:val="PolicyandProcedureHeading"/>
        <w:numPr>
          <w:ilvl w:val="0"/>
          <w:numId w:val="19"/>
        </w:numPr>
        <w:spacing w:after="60" w:line="276" w:lineRule="auto"/>
        <w:jc w:val="left"/>
        <w:rPr>
          <w:rFonts w:ascii="Arial" w:eastAsia="Arial Narrow" w:hAnsi="Arial" w:cs="Arial"/>
          <w:b w:val="0"/>
          <w:bCs w:val="0"/>
          <w:sz w:val="22"/>
          <w:szCs w:val="22"/>
        </w:rPr>
      </w:pPr>
      <w:bookmarkStart w:id="15" w:name="_Hlk189474207"/>
      <w:r w:rsidRPr="00433F13">
        <w:rPr>
          <w:rFonts w:ascii="Arial" w:eastAsia="Arial Narrow" w:hAnsi="Arial" w:cs="Arial"/>
          <w:b w:val="0"/>
          <w:bCs w:val="0"/>
          <w:sz w:val="22"/>
          <w:szCs w:val="22"/>
        </w:rPr>
        <w:t xml:space="preserve">Government of Ontario’s </w:t>
      </w:r>
      <w:r w:rsidRPr="00433F13">
        <w:rPr>
          <w:rFonts w:ascii="Arial" w:eastAsia="Arial Narrow" w:hAnsi="Arial" w:cs="Arial"/>
          <w:b w:val="0"/>
          <w:bCs w:val="0"/>
          <w:sz w:val="22"/>
          <w:szCs w:val="22"/>
          <w:lang w:val="en-CA"/>
        </w:rPr>
        <w:t>Ontario’s </w:t>
      </w:r>
      <w:r w:rsidRPr="00433F13">
        <w:rPr>
          <w:rFonts w:ascii="Arial" w:eastAsia="Arial Narrow" w:hAnsi="Arial" w:cs="Arial"/>
          <w:b w:val="0"/>
          <w:bCs w:val="0"/>
          <w:i/>
          <w:iCs/>
          <w:sz w:val="22"/>
          <w:szCs w:val="22"/>
          <w:lang w:val="en-CA"/>
        </w:rPr>
        <w:t>Anti-Racism Data Standards</w:t>
      </w:r>
      <w:r w:rsidRPr="00433F13">
        <w:rPr>
          <w:rFonts w:ascii="Arial" w:eastAsia="Arial Narrow" w:hAnsi="Arial" w:cs="Arial"/>
          <w:b w:val="0"/>
          <w:bCs w:val="0"/>
          <w:sz w:val="22"/>
          <w:szCs w:val="22"/>
          <w:lang w:val="en-CA"/>
        </w:rPr>
        <w:t> (Standards) established to help identify and monitor systemic racism and racial disparities within the public sector.</w:t>
      </w:r>
    </w:p>
    <w:p w14:paraId="12DD0BF3" w14:textId="2CC455A2" w:rsidR="007334D1" w:rsidRDefault="00AF2A63" w:rsidP="001C157E">
      <w:pPr>
        <w:pStyle w:val="PolicyandProcedureHeading"/>
        <w:numPr>
          <w:ilvl w:val="0"/>
          <w:numId w:val="19"/>
        </w:numPr>
        <w:spacing w:after="60" w:line="276" w:lineRule="auto"/>
        <w:jc w:val="left"/>
        <w:rPr>
          <w:rFonts w:ascii="Arial" w:eastAsia="Arial Narrow" w:hAnsi="Arial" w:cs="Arial"/>
          <w:b w:val="0"/>
          <w:bCs w:val="0"/>
          <w:sz w:val="22"/>
          <w:szCs w:val="22"/>
          <w:lang w:val="en-CA"/>
        </w:rPr>
      </w:pPr>
      <w:bookmarkStart w:id="16" w:name="_Hlk189472356"/>
      <w:bookmarkEnd w:id="15"/>
      <w:r>
        <w:rPr>
          <w:rFonts w:ascii="Arial" w:eastAsia="Arial Narrow" w:hAnsi="Arial" w:cs="Arial"/>
          <w:b w:val="0"/>
          <w:bCs w:val="0"/>
          <w:sz w:val="22"/>
          <w:szCs w:val="22"/>
          <w:lang w:val="en-CA"/>
        </w:rPr>
        <w:t>Guidance for the Collection and Use of Sociodemographic Data for Equity Analytics, Ontario Health, June 2024</w:t>
      </w:r>
      <w:bookmarkEnd w:id="16"/>
    </w:p>
    <w:p w14:paraId="0315F99A" w14:textId="77777777" w:rsidR="007334D1" w:rsidRDefault="007334D1">
      <w:pPr>
        <w:rPr>
          <w:rFonts w:eastAsia="Arial Narrow"/>
          <w:spacing w:val="-5"/>
          <w:lang w:val="en-CA"/>
        </w:rPr>
      </w:pPr>
      <w:r>
        <w:rPr>
          <w:rFonts w:eastAsia="Arial Narrow"/>
          <w:b/>
          <w:bCs/>
          <w:lang w:val="en-CA"/>
        </w:rPr>
        <w:br w:type="page"/>
      </w:r>
    </w:p>
    <w:p w14:paraId="78E2B846" w14:textId="77777777" w:rsidR="006D65EC" w:rsidRPr="007334D1" w:rsidRDefault="006D65EC" w:rsidP="001C157E">
      <w:pPr>
        <w:pStyle w:val="PolicyandProcedureHeading"/>
        <w:numPr>
          <w:ilvl w:val="0"/>
          <w:numId w:val="19"/>
        </w:numPr>
        <w:spacing w:after="60" w:line="276" w:lineRule="auto"/>
        <w:jc w:val="left"/>
        <w:rPr>
          <w:rFonts w:ascii="Arial" w:eastAsia="Arial Narrow" w:hAnsi="Arial" w:cs="Arial"/>
          <w:b w:val="0"/>
          <w:bCs w:val="0"/>
          <w:sz w:val="22"/>
          <w:szCs w:val="22"/>
        </w:rPr>
        <w:sectPr w:rsidR="006D65EC" w:rsidRPr="007334D1" w:rsidSect="001C15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96" w:footer="1008" w:gutter="0"/>
          <w:cols w:space="720"/>
        </w:sectPr>
      </w:pPr>
    </w:p>
    <w:p w14:paraId="308BB554" w14:textId="77777777" w:rsidR="007334D1" w:rsidRPr="00C36E2C" w:rsidRDefault="007334D1" w:rsidP="007334D1">
      <w:pPr>
        <w:pStyle w:val="Heading2"/>
        <w:contextualSpacing/>
        <w:rPr>
          <w:i/>
          <w:iCs/>
          <w:sz w:val="24"/>
          <w:szCs w:val="24"/>
        </w:rPr>
      </w:pPr>
      <w:bookmarkStart w:id="33" w:name="Appendix_1"/>
      <w:bookmarkStart w:id="34" w:name="_Hlk184021433"/>
      <w:bookmarkStart w:id="35" w:name="_Hlk191452127"/>
      <w:bookmarkEnd w:id="33"/>
      <w:r w:rsidRPr="00C36E2C">
        <w:rPr>
          <w:rFonts w:eastAsia="Arial Narrow"/>
          <w:sz w:val="24"/>
          <w:szCs w:val="24"/>
          <w:lang w:val="en-CA"/>
        </w:rPr>
        <w:lastRenderedPageBreak/>
        <w:t xml:space="preserve">Appendix 1:  </w:t>
      </w:r>
      <w:bookmarkStart w:id="36" w:name="_Toc150765285"/>
      <w:r w:rsidRPr="00C36E2C">
        <w:rPr>
          <w:rFonts w:eastAsia="Arial Narrow"/>
          <w:sz w:val="24"/>
          <w:szCs w:val="24"/>
          <w:lang w:val="en-CA"/>
        </w:rPr>
        <w:t xml:space="preserve">   </w:t>
      </w:r>
      <w:r w:rsidRPr="00C36E2C">
        <w:rPr>
          <w:i/>
          <w:iCs/>
          <w:sz w:val="24"/>
          <w:szCs w:val="24"/>
        </w:rPr>
        <w:t>CIHI Indigenous Identity Data Standard</w:t>
      </w:r>
      <w:bookmarkEnd w:id="36"/>
      <w:r>
        <w:rPr>
          <w:i/>
          <w:iCs/>
          <w:sz w:val="24"/>
          <w:szCs w:val="24"/>
        </w:rPr>
        <w:t xml:space="preserve"> </w:t>
      </w:r>
      <w:r>
        <w:rPr>
          <w:rStyle w:val="FootnoteReference"/>
          <w:i/>
          <w:iCs/>
          <w:sz w:val="24"/>
          <w:szCs w:val="24"/>
        </w:rPr>
        <w:footnoteReference w:id="9"/>
      </w:r>
    </w:p>
    <w:bookmarkEnd w:id="34"/>
    <w:p w14:paraId="7AB822D1" w14:textId="77777777" w:rsidR="007334D1" w:rsidRPr="00C36E2C" w:rsidRDefault="007334D1" w:rsidP="007334D1">
      <w:pPr>
        <w:spacing w:after="60" w:line="276" w:lineRule="auto"/>
        <w:contextualSpacing/>
        <w:rPr>
          <w:i/>
          <w:iCs/>
          <w:u w:val="single"/>
        </w:rPr>
      </w:pPr>
      <w:r w:rsidRPr="00C36E2C">
        <w:rPr>
          <w:i/>
          <w:iCs/>
          <w:u w:val="single"/>
        </w:rPr>
        <w:t xml:space="preserve">Question: </w:t>
      </w:r>
    </w:p>
    <w:p w14:paraId="051C9AD3" w14:textId="77777777" w:rsidR="007334D1" w:rsidRPr="00C36E2C" w:rsidRDefault="007334D1" w:rsidP="007334D1">
      <w:pPr>
        <w:spacing w:after="60" w:line="276" w:lineRule="auto"/>
        <w:ind w:firstLine="720"/>
        <w:contextualSpacing/>
        <w:rPr>
          <w:i/>
          <w:iCs/>
        </w:rPr>
      </w:pPr>
      <w:r w:rsidRPr="00C36E2C">
        <w:rPr>
          <w:i/>
          <w:iCs/>
        </w:rPr>
        <w:t>Do you identify as First Nations, Inuk/Inuit and/or Métis?</w:t>
      </w:r>
    </w:p>
    <w:p w14:paraId="356C3D89" w14:textId="77777777" w:rsidR="007334D1" w:rsidRPr="00C36E2C" w:rsidRDefault="007334D1" w:rsidP="007334D1">
      <w:pPr>
        <w:spacing w:after="60" w:line="276" w:lineRule="auto"/>
        <w:ind w:firstLine="720"/>
        <w:contextualSpacing/>
        <w:rPr>
          <w:i/>
          <w:iCs/>
        </w:rPr>
      </w:pPr>
    </w:p>
    <w:p w14:paraId="1481830B" w14:textId="77777777" w:rsidR="007334D1" w:rsidRPr="00C36E2C" w:rsidRDefault="007334D1" w:rsidP="007334D1">
      <w:pPr>
        <w:spacing w:after="60" w:line="276" w:lineRule="auto"/>
        <w:contextualSpacing/>
        <w:rPr>
          <w:i/>
          <w:iCs/>
          <w:u w:val="single"/>
        </w:rPr>
      </w:pPr>
      <w:r w:rsidRPr="00C36E2C">
        <w:rPr>
          <w:i/>
          <w:iCs/>
          <w:u w:val="single"/>
        </w:rPr>
        <w:t xml:space="preserve">Response: </w:t>
      </w:r>
    </w:p>
    <w:p w14:paraId="478D0168" w14:textId="77777777" w:rsidR="007334D1" w:rsidRPr="00C36E2C" w:rsidRDefault="007334D1" w:rsidP="007334D1">
      <w:pPr>
        <w:spacing w:after="60" w:line="276" w:lineRule="auto"/>
        <w:ind w:firstLine="720"/>
        <w:contextualSpacing/>
        <w:rPr>
          <w:i/>
          <w:iCs/>
        </w:rPr>
      </w:pPr>
      <w:r w:rsidRPr="00C36E2C">
        <w:rPr>
          <w:i/>
          <w:iCs/>
        </w:rPr>
        <w:t>Categories (select all that apply):</w:t>
      </w:r>
    </w:p>
    <w:p w14:paraId="077BC668" w14:textId="77777777" w:rsidR="007334D1" w:rsidRPr="00C36E2C" w:rsidRDefault="007334D1" w:rsidP="007334D1">
      <w:pPr>
        <w:pStyle w:val="ListParagraph"/>
        <w:widowControl/>
        <w:numPr>
          <w:ilvl w:val="0"/>
          <w:numId w:val="21"/>
        </w:numPr>
        <w:autoSpaceDE/>
        <w:autoSpaceDN/>
        <w:spacing w:after="60" w:line="276" w:lineRule="auto"/>
        <w:ind w:left="1004" w:hanging="284"/>
        <w:contextualSpacing/>
        <w:rPr>
          <w:i/>
          <w:iCs/>
        </w:rPr>
      </w:pPr>
      <w:r w:rsidRPr="00C36E2C">
        <w:rPr>
          <w:i/>
          <w:iCs/>
        </w:rPr>
        <w:t>Yes, First Nations</w:t>
      </w:r>
    </w:p>
    <w:p w14:paraId="32772C2B" w14:textId="77777777" w:rsidR="007334D1" w:rsidRPr="00C36E2C" w:rsidRDefault="007334D1" w:rsidP="007334D1">
      <w:pPr>
        <w:pStyle w:val="ListParagraph"/>
        <w:widowControl/>
        <w:numPr>
          <w:ilvl w:val="0"/>
          <w:numId w:val="21"/>
        </w:numPr>
        <w:autoSpaceDE/>
        <w:autoSpaceDN/>
        <w:spacing w:after="60" w:line="276" w:lineRule="auto"/>
        <w:ind w:left="1004" w:hanging="284"/>
        <w:contextualSpacing/>
        <w:rPr>
          <w:i/>
          <w:iCs/>
        </w:rPr>
      </w:pPr>
      <w:r w:rsidRPr="00C36E2C">
        <w:rPr>
          <w:i/>
          <w:iCs/>
        </w:rPr>
        <w:t>Yes, Inuk/Inuit</w:t>
      </w:r>
    </w:p>
    <w:p w14:paraId="20E643CA" w14:textId="77777777" w:rsidR="007334D1" w:rsidRPr="00C36E2C" w:rsidRDefault="007334D1" w:rsidP="007334D1">
      <w:pPr>
        <w:pStyle w:val="ListParagraph"/>
        <w:widowControl/>
        <w:numPr>
          <w:ilvl w:val="0"/>
          <w:numId w:val="21"/>
        </w:numPr>
        <w:autoSpaceDE/>
        <w:autoSpaceDN/>
        <w:spacing w:after="60" w:line="276" w:lineRule="auto"/>
        <w:ind w:left="1004" w:hanging="284"/>
        <w:contextualSpacing/>
        <w:rPr>
          <w:i/>
          <w:iCs/>
        </w:rPr>
      </w:pPr>
      <w:r w:rsidRPr="00C36E2C">
        <w:rPr>
          <w:i/>
          <w:iCs/>
        </w:rPr>
        <w:t>Yes, Métis</w:t>
      </w:r>
    </w:p>
    <w:p w14:paraId="3CC371E0" w14:textId="77777777" w:rsidR="007334D1" w:rsidRPr="00C36E2C" w:rsidRDefault="007334D1" w:rsidP="007334D1">
      <w:pPr>
        <w:pStyle w:val="ListParagraph"/>
        <w:widowControl/>
        <w:numPr>
          <w:ilvl w:val="0"/>
          <w:numId w:val="21"/>
        </w:numPr>
        <w:autoSpaceDE/>
        <w:autoSpaceDN/>
        <w:spacing w:after="60" w:line="276" w:lineRule="auto"/>
        <w:ind w:left="1004" w:hanging="284"/>
        <w:contextualSpacing/>
        <w:rPr>
          <w:i/>
          <w:iCs/>
        </w:rPr>
      </w:pPr>
      <w:r w:rsidRPr="00C36E2C">
        <w:rPr>
          <w:i/>
          <w:iCs/>
        </w:rPr>
        <w:t>No</w:t>
      </w:r>
    </w:p>
    <w:p w14:paraId="30F481E2" w14:textId="77777777" w:rsidR="007334D1" w:rsidRPr="00C36E2C" w:rsidRDefault="007334D1" w:rsidP="007334D1">
      <w:pPr>
        <w:pStyle w:val="ListParagraph"/>
        <w:widowControl/>
        <w:numPr>
          <w:ilvl w:val="0"/>
          <w:numId w:val="21"/>
        </w:numPr>
        <w:autoSpaceDE/>
        <w:autoSpaceDN/>
        <w:spacing w:after="60" w:line="276" w:lineRule="auto"/>
        <w:ind w:left="1004" w:hanging="284"/>
        <w:contextualSpacing/>
        <w:rPr>
          <w:i/>
          <w:iCs/>
        </w:rPr>
      </w:pPr>
      <w:r w:rsidRPr="00C36E2C">
        <w:rPr>
          <w:i/>
          <w:iCs/>
        </w:rPr>
        <w:t>Do not know</w:t>
      </w:r>
    </w:p>
    <w:p w14:paraId="2F2776F8"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180BE6F5"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1BA7F6D5"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15B51B34"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5FE15ADA"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6367498A"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0C7D2600"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382792EF"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613CB8DC"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718CA82F"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3C1D123A"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42511E5A"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3D063006" w14:textId="77777777" w:rsidR="007334D1" w:rsidRDefault="007334D1" w:rsidP="007334D1">
      <w:pPr>
        <w:pStyle w:val="PolicyandProcedureHeading"/>
        <w:spacing w:after="60" w:line="276" w:lineRule="auto"/>
        <w:rPr>
          <w:rFonts w:ascii="Arial" w:eastAsia="Arial Narrow" w:hAnsi="Arial" w:cs="Arial"/>
          <w:bCs w:val="0"/>
          <w:sz w:val="22"/>
          <w:szCs w:val="22"/>
          <w:lang w:val="en-CA"/>
        </w:rPr>
      </w:pPr>
    </w:p>
    <w:p w14:paraId="69AFCC74" w14:textId="77777777" w:rsidR="007334D1" w:rsidRDefault="007334D1">
      <w:pPr>
        <w:rPr>
          <w:rFonts w:eastAsia="Arial Narrow"/>
          <w:b/>
          <w:spacing w:val="-5"/>
          <w:lang w:val="en-CA"/>
        </w:rPr>
      </w:pPr>
      <w:r>
        <w:rPr>
          <w:rFonts w:eastAsia="Arial Narrow"/>
          <w:bCs/>
          <w:lang w:val="en-CA"/>
        </w:rPr>
        <w:br w:type="page"/>
      </w:r>
    </w:p>
    <w:p w14:paraId="316D1B0A" w14:textId="7826203D" w:rsidR="007334D1" w:rsidRDefault="007334D1" w:rsidP="007334D1">
      <w:pPr>
        <w:pStyle w:val="PolicyandProcedureHeading"/>
        <w:spacing w:after="60" w:line="276" w:lineRule="auto"/>
        <w:rPr>
          <w:rFonts w:ascii="Arial" w:eastAsia="Arial Narrow" w:hAnsi="Arial" w:cs="Arial"/>
          <w:b w:val="0"/>
          <w:sz w:val="22"/>
          <w:szCs w:val="22"/>
          <w:lang w:val="en-CA"/>
        </w:rPr>
      </w:pPr>
      <w:r w:rsidRPr="00AE58FA">
        <w:rPr>
          <w:rFonts w:ascii="Arial" w:eastAsia="Arial Narrow" w:hAnsi="Arial" w:cs="Arial"/>
          <w:bCs w:val="0"/>
          <w:sz w:val="22"/>
          <w:szCs w:val="22"/>
          <w:lang w:val="en-CA"/>
        </w:rPr>
        <w:lastRenderedPageBreak/>
        <w:t>Appendix 2:</w:t>
      </w:r>
      <w:r w:rsidRPr="003A676A">
        <w:rPr>
          <w:rFonts w:ascii="Arial" w:eastAsia="Arial Narrow" w:hAnsi="Arial" w:cs="Arial"/>
          <w:b w:val="0"/>
          <w:sz w:val="22"/>
          <w:szCs w:val="22"/>
          <w:lang w:val="en-CA"/>
        </w:rPr>
        <w:t xml:space="preserve">     </w:t>
      </w:r>
      <w:r>
        <w:rPr>
          <w:rFonts w:ascii="Arial" w:eastAsia="Arial Narrow" w:hAnsi="Arial" w:cs="Arial"/>
          <w:b w:val="0"/>
          <w:sz w:val="22"/>
          <w:szCs w:val="22"/>
          <w:lang w:val="en-CA"/>
        </w:rPr>
        <w:t>Racialized Group</w:t>
      </w:r>
      <w:r>
        <w:rPr>
          <w:rStyle w:val="FootnoteReference"/>
          <w:rFonts w:ascii="Arial" w:eastAsia="Arial Narrow" w:hAnsi="Arial" w:cs="Arial"/>
          <w:b w:val="0"/>
          <w:sz w:val="22"/>
          <w:szCs w:val="22"/>
          <w:lang w:val="en-CA"/>
        </w:rPr>
        <w:footnoteReference w:id="10"/>
      </w:r>
      <w:r>
        <w:rPr>
          <w:rFonts w:ascii="Arial" w:eastAsia="Arial Narrow" w:hAnsi="Arial" w:cs="Arial"/>
          <w:b w:val="0"/>
          <w:sz w:val="22"/>
          <w:szCs w:val="22"/>
          <w:lang w:val="en-CA"/>
        </w:rPr>
        <w:t xml:space="preserve"> </w:t>
      </w:r>
      <w:r w:rsidRPr="003A676A">
        <w:rPr>
          <w:rFonts w:ascii="Arial" w:eastAsia="Arial Narrow" w:hAnsi="Arial" w:cs="Arial"/>
          <w:b w:val="0"/>
          <w:sz w:val="22"/>
          <w:szCs w:val="22"/>
          <w:lang w:val="en-CA"/>
        </w:rPr>
        <w:t xml:space="preserve">Data </w:t>
      </w:r>
      <w:r w:rsidRPr="000C617C">
        <w:rPr>
          <w:rFonts w:ascii="Arial" w:eastAsia="Arial Narrow" w:hAnsi="Arial" w:cs="Arial"/>
          <w:b w:val="0"/>
          <w:sz w:val="22"/>
          <w:szCs w:val="22"/>
          <w:lang w:val="en-CA"/>
        </w:rPr>
        <w:t>Collection</w:t>
      </w:r>
      <w:r>
        <w:rPr>
          <w:rFonts w:ascii="Arial" w:eastAsia="Arial Narrow" w:hAnsi="Arial" w:cs="Arial"/>
          <w:b w:val="0"/>
          <w:sz w:val="22"/>
          <w:szCs w:val="22"/>
          <w:lang w:val="en-CA"/>
        </w:rPr>
        <w:t xml:space="preserve"> (Based on CIHI HHR MDS, 2022 and Ontario Health Data Standard, 2024) </w:t>
      </w:r>
      <w:r>
        <w:rPr>
          <w:rStyle w:val="FootnoteReference"/>
          <w:rFonts w:ascii="Arial" w:eastAsia="Arial Narrow" w:hAnsi="Arial" w:cs="Arial"/>
          <w:b w:val="0"/>
          <w:sz w:val="22"/>
          <w:szCs w:val="22"/>
          <w:lang w:val="en-CA"/>
        </w:rPr>
        <w:footnoteReference w:id="11"/>
      </w:r>
    </w:p>
    <w:tbl>
      <w:tblPr>
        <w:tblpPr w:leftFromText="180" w:rightFromText="180" w:vertAnchor="text" w:horzAnchor="margin" w:tblpXSpec="center" w:tblpY="354"/>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80"/>
      </w:tblGrid>
      <w:tr w:rsidR="007334D1" w14:paraId="4F7A5AEC" w14:textId="77777777" w:rsidTr="00754F7B">
        <w:trPr>
          <w:trHeight w:val="145"/>
        </w:trPr>
        <w:tc>
          <w:tcPr>
            <w:tcW w:w="4680" w:type="dxa"/>
            <w:tcBorders>
              <w:top w:val="none" w:sz="6" w:space="0" w:color="auto"/>
              <w:bottom w:val="none" w:sz="6" w:space="0" w:color="auto"/>
              <w:right w:val="none" w:sz="6" w:space="0" w:color="auto"/>
            </w:tcBorders>
          </w:tcPr>
          <w:p w14:paraId="41B325B3" w14:textId="77777777" w:rsidR="007334D1" w:rsidRDefault="007334D1" w:rsidP="00754F7B">
            <w:pPr>
              <w:pStyle w:val="Pa16"/>
              <w:spacing w:after="60"/>
            </w:pPr>
            <w:r>
              <w:rPr>
                <w:b/>
                <w:bCs/>
                <w:color w:val="000000"/>
                <w:sz w:val="22"/>
                <w:szCs w:val="22"/>
              </w:rPr>
              <w:t>Question:</w:t>
            </w:r>
            <w:r>
              <w:t xml:space="preserve"> </w:t>
            </w:r>
          </w:p>
          <w:p w14:paraId="10BA206B" w14:textId="77777777" w:rsidR="007334D1" w:rsidRPr="00690AD5" w:rsidRDefault="007334D1" w:rsidP="00754F7B">
            <w:pPr>
              <w:pStyle w:val="Pa16"/>
              <w:spacing w:after="60"/>
              <w:rPr>
                <w:color w:val="000000"/>
                <w:sz w:val="12"/>
                <w:szCs w:val="12"/>
              </w:rPr>
            </w:pPr>
            <w:r>
              <w:rPr>
                <w:color w:val="000000"/>
                <w:sz w:val="22"/>
                <w:szCs w:val="22"/>
              </w:rPr>
              <w:t>Which racialized group best describes you? Check all that apply and/or indicate another category:</w:t>
            </w:r>
            <w:r>
              <w:rPr>
                <w:rStyle w:val="A6"/>
              </w:rPr>
              <w:t xml:space="preserve"> </w:t>
            </w:r>
          </w:p>
        </w:tc>
      </w:tr>
      <w:tr w:rsidR="007334D1" w14:paraId="4A180A21" w14:textId="77777777" w:rsidTr="00754F7B">
        <w:trPr>
          <w:trHeight w:val="145"/>
        </w:trPr>
        <w:tc>
          <w:tcPr>
            <w:tcW w:w="4680" w:type="dxa"/>
            <w:tcBorders>
              <w:top w:val="none" w:sz="6" w:space="0" w:color="auto"/>
              <w:bottom w:val="none" w:sz="6" w:space="0" w:color="auto"/>
              <w:right w:val="none" w:sz="6" w:space="0" w:color="auto"/>
            </w:tcBorders>
          </w:tcPr>
          <w:p w14:paraId="23FEF677" w14:textId="77777777" w:rsidR="007334D1" w:rsidRDefault="007334D1" w:rsidP="00754F7B">
            <w:pPr>
              <w:pStyle w:val="Pa16"/>
              <w:spacing w:after="60"/>
              <w:rPr>
                <w:rFonts w:ascii="Calibri" w:hAnsi="Calibri" w:cs="Calibri"/>
                <w:b/>
                <w:bCs/>
                <w:i/>
                <w:iCs/>
                <w:color w:val="365253"/>
                <w:sz w:val="18"/>
                <w:szCs w:val="18"/>
              </w:rPr>
            </w:pPr>
          </w:p>
          <w:p w14:paraId="0741E7D5" w14:textId="77777777" w:rsidR="007334D1" w:rsidRPr="00E13255" w:rsidRDefault="007334D1" w:rsidP="00754F7B">
            <w:pPr>
              <w:pStyle w:val="Pa16"/>
              <w:spacing w:after="60"/>
              <w:rPr>
                <w:b/>
                <w:bCs/>
                <w:color w:val="365253"/>
                <w:sz w:val="21"/>
                <w:szCs w:val="21"/>
              </w:rPr>
            </w:pPr>
            <w:r w:rsidRPr="00E13255">
              <w:rPr>
                <w:b/>
                <w:bCs/>
                <w:color w:val="365253"/>
                <w:sz w:val="21"/>
                <w:szCs w:val="21"/>
              </w:rPr>
              <w:t>Response category</w:t>
            </w:r>
          </w:p>
          <w:p w14:paraId="06679D7D" w14:textId="77777777" w:rsidR="007334D1" w:rsidRPr="00E13255" w:rsidRDefault="007334D1" w:rsidP="007334D1">
            <w:pPr>
              <w:pStyle w:val="Default"/>
              <w:numPr>
                <w:ilvl w:val="0"/>
                <w:numId w:val="22"/>
              </w:numPr>
              <w:rPr>
                <w:sz w:val="22"/>
                <w:szCs w:val="22"/>
              </w:rPr>
            </w:pPr>
            <w:r w:rsidRPr="00E13255">
              <w:rPr>
                <w:sz w:val="22"/>
                <w:szCs w:val="22"/>
              </w:rPr>
              <w:t>Black</w:t>
            </w:r>
          </w:p>
          <w:p w14:paraId="50118659" w14:textId="77777777" w:rsidR="007334D1" w:rsidRPr="00E13255" w:rsidRDefault="007334D1" w:rsidP="007334D1">
            <w:pPr>
              <w:pStyle w:val="Default"/>
              <w:numPr>
                <w:ilvl w:val="0"/>
                <w:numId w:val="22"/>
              </w:numPr>
              <w:rPr>
                <w:sz w:val="22"/>
                <w:szCs w:val="22"/>
              </w:rPr>
            </w:pPr>
            <w:r w:rsidRPr="00E13255">
              <w:rPr>
                <w:sz w:val="22"/>
                <w:szCs w:val="22"/>
              </w:rPr>
              <w:t>East Asian</w:t>
            </w:r>
          </w:p>
          <w:p w14:paraId="4B5BD82D" w14:textId="77777777" w:rsidR="007334D1" w:rsidRPr="00E13255" w:rsidRDefault="007334D1" w:rsidP="007334D1">
            <w:pPr>
              <w:pStyle w:val="Default"/>
              <w:numPr>
                <w:ilvl w:val="0"/>
                <w:numId w:val="22"/>
              </w:numPr>
              <w:rPr>
                <w:sz w:val="22"/>
                <w:szCs w:val="22"/>
              </w:rPr>
            </w:pPr>
            <w:r w:rsidRPr="00E13255">
              <w:rPr>
                <w:sz w:val="22"/>
                <w:szCs w:val="22"/>
              </w:rPr>
              <w:t xml:space="preserve">Indigenous </w:t>
            </w:r>
          </w:p>
          <w:p w14:paraId="1D811A01" w14:textId="77777777" w:rsidR="007334D1" w:rsidRPr="00E13255" w:rsidRDefault="007334D1" w:rsidP="007334D1">
            <w:pPr>
              <w:pStyle w:val="Default"/>
              <w:numPr>
                <w:ilvl w:val="0"/>
                <w:numId w:val="22"/>
              </w:numPr>
              <w:rPr>
                <w:sz w:val="22"/>
                <w:szCs w:val="22"/>
              </w:rPr>
            </w:pPr>
            <w:r w:rsidRPr="00E13255">
              <w:rPr>
                <w:sz w:val="22"/>
                <w:szCs w:val="22"/>
              </w:rPr>
              <w:t>Latin American</w:t>
            </w:r>
          </w:p>
          <w:p w14:paraId="7CCF622A" w14:textId="77777777" w:rsidR="007334D1" w:rsidRPr="00E13255" w:rsidRDefault="007334D1" w:rsidP="007334D1">
            <w:pPr>
              <w:pStyle w:val="Default"/>
              <w:numPr>
                <w:ilvl w:val="0"/>
                <w:numId w:val="22"/>
              </w:numPr>
              <w:rPr>
                <w:sz w:val="22"/>
                <w:szCs w:val="22"/>
              </w:rPr>
            </w:pPr>
            <w:r w:rsidRPr="00E13255">
              <w:rPr>
                <w:sz w:val="22"/>
                <w:szCs w:val="22"/>
              </w:rPr>
              <w:t>Southwest Asian/North African</w:t>
            </w:r>
          </w:p>
          <w:p w14:paraId="3AF5E23D" w14:textId="77777777" w:rsidR="007334D1" w:rsidRPr="00E13255" w:rsidRDefault="007334D1" w:rsidP="007334D1">
            <w:pPr>
              <w:pStyle w:val="Default"/>
              <w:numPr>
                <w:ilvl w:val="0"/>
                <w:numId w:val="22"/>
              </w:numPr>
              <w:rPr>
                <w:sz w:val="22"/>
                <w:szCs w:val="22"/>
              </w:rPr>
            </w:pPr>
            <w:r w:rsidRPr="00E13255">
              <w:rPr>
                <w:sz w:val="22"/>
                <w:szCs w:val="22"/>
              </w:rPr>
              <w:t>South Asian</w:t>
            </w:r>
          </w:p>
          <w:p w14:paraId="05F5171B" w14:textId="77777777" w:rsidR="007334D1" w:rsidRPr="00E13255" w:rsidRDefault="007334D1" w:rsidP="007334D1">
            <w:pPr>
              <w:pStyle w:val="Default"/>
              <w:numPr>
                <w:ilvl w:val="0"/>
                <w:numId w:val="22"/>
              </w:numPr>
              <w:rPr>
                <w:sz w:val="22"/>
                <w:szCs w:val="22"/>
              </w:rPr>
            </w:pPr>
            <w:r w:rsidRPr="00E13255">
              <w:rPr>
                <w:sz w:val="22"/>
                <w:szCs w:val="22"/>
              </w:rPr>
              <w:t>White</w:t>
            </w:r>
          </w:p>
          <w:p w14:paraId="26840B3A" w14:textId="77777777" w:rsidR="007334D1" w:rsidRPr="00E13255" w:rsidRDefault="007334D1" w:rsidP="007334D1">
            <w:pPr>
              <w:pStyle w:val="Default"/>
              <w:numPr>
                <w:ilvl w:val="0"/>
                <w:numId w:val="22"/>
              </w:numPr>
              <w:rPr>
                <w:sz w:val="22"/>
                <w:szCs w:val="22"/>
              </w:rPr>
            </w:pPr>
            <w:r w:rsidRPr="00E13255">
              <w:rPr>
                <w:sz w:val="22"/>
                <w:szCs w:val="22"/>
              </w:rPr>
              <w:t>Another racialized group category</w:t>
            </w:r>
          </w:p>
          <w:p w14:paraId="32AF6E30" w14:textId="77777777" w:rsidR="007334D1" w:rsidRPr="00E13255" w:rsidRDefault="007334D1" w:rsidP="00754F7B">
            <w:pPr>
              <w:pStyle w:val="Default"/>
              <w:ind w:left="720"/>
              <w:rPr>
                <w:i/>
                <w:iCs/>
                <w:sz w:val="20"/>
                <w:szCs w:val="20"/>
              </w:rPr>
            </w:pPr>
            <w:r w:rsidRPr="00E13255">
              <w:rPr>
                <w:i/>
                <w:iCs/>
                <w:sz w:val="20"/>
                <w:szCs w:val="20"/>
              </w:rPr>
              <w:t>Optional-please specify:  [open text]</w:t>
            </w:r>
          </w:p>
          <w:p w14:paraId="0F22F12C" w14:textId="77777777" w:rsidR="007334D1" w:rsidRPr="00E13255" w:rsidRDefault="007334D1" w:rsidP="007334D1">
            <w:pPr>
              <w:pStyle w:val="Default"/>
              <w:numPr>
                <w:ilvl w:val="0"/>
                <w:numId w:val="22"/>
              </w:numPr>
              <w:rPr>
                <w:sz w:val="22"/>
                <w:szCs w:val="22"/>
              </w:rPr>
            </w:pPr>
            <w:r w:rsidRPr="00E13255">
              <w:rPr>
                <w:sz w:val="22"/>
                <w:szCs w:val="22"/>
              </w:rPr>
              <w:t>Do not know</w:t>
            </w:r>
          </w:p>
          <w:p w14:paraId="4A8ACE45" w14:textId="77777777" w:rsidR="007334D1" w:rsidRPr="002A0762" w:rsidRDefault="007334D1" w:rsidP="00754F7B">
            <w:pPr>
              <w:pStyle w:val="Default"/>
              <w:ind w:left="720"/>
              <w:rPr>
                <w:rFonts w:ascii="Calibri" w:hAnsi="Calibri" w:cs="Calibri"/>
                <w:i/>
                <w:iCs/>
                <w:color w:val="365253"/>
                <w:sz w:val="18"/>
                <w:szCs w:val="18"/>
              </w:rPr>
            </w:pPr>
          </w:p>
        </w:tc>
      </w:tr>
      <w:tr w:rsidR="007334D1" w14:paraId="74B70A53" w14:textId="77777777" w:rsidTr="00754F7B">
        <w:trPr>
          <w:trHeight w:val="145"/>
        </w:trPr>
        <w:tc>
          <w:tcPr>
            <w:tcW w:w="4680" w:type="dxa"/>
            <w:tcBorders>
              <w:top w:val="none" w:sz="6" w:space="0" w:color="auto"/>
              <w:bottom w:val="none" w:sz="6" w:space="0" w:color="auto"/>
              <w:right w:val="none" w:sz="6" w:space="0" w:color="auto"/>
            </w:tcBorders>
          </w:tcPr>
          <w:p w14:paraId="17495E65" w14:textId="77777777" w:rsidR="007334D1" w:rsidRPr="002A0762" w:rsidRDefault="007334D1" w:rsidP="00754F7B">
            <w:pPr>
              <w:pStyle w:val="Pa16"/>
              <w:spacing w:after="60"/>
              <w:rPr>
                <w:rFonts w:ascii="Calibri" w:hAnsi="Calibri" w:cs="Calibri"/>
                <w:i/>
                <w:iCs/>
                <w:color w:val="365253"/>
                <w:sz w:val="18"/>
                <w:szCs w:val="18"/>
              </w:rPr>
            </w:pPr>
          </w:p>
        </w:tc>
      </w:tr>
    </w:tbl>
    <w:p w14:paraId="2D1416DA" w14:textId="77777777" w:rsidR="007334D1" w:rsidRDefault="007334D1" w:rsidP="007334D1">
      <w:pPr>
        <w:pStyle w:val="Pa14"/>
        <w:spacing w:before="60" w:after="80"/>
        <w:rPr>
          <w:rFonts w:ascii="Calibri" w:hAnsi="Calibri" w:cs="Calibri"/>
          <w:color w:val="000000"/>
          <w:sz w:val="28"/>
          <w:szCs w:val="28"/>
        </w:rPr>
      </w:pPr>
    </w:p>
    <w:bookmarkEnd w:id="35"/>
    <w:p w14:paraId="76BD770B" w14:textId="77777777" w:rsidR="007334D1" w:rsidRPr="00433F13" w:rsidRDefault="007334D1" w:rsidP="007334D1">
      <w:pPr>
        <w:pStyle w:val="PolicyandProcedureHeading"/>
        <w:spacing w:after="60" w:line="276" w:lineRule="auto"/>
        <w:rPr>
          <w:rFonts w:ascii="Arial" w:eastAsia="Arial Narrow" w:hAnsi="Arial" w:cs="Arial"/>
          <w:b w:val="0"/>
          <w:sz w:val="22"/>
          <w:szCs w:val="22"/>
          <w:highlight w:val="yellow"/>
          <w:lang w:val="en-CA"/>
        </w:rPr>
      </w:pPr>
    </w:p>
    <w:p w14:paraId="742C43F9" w14:textId="77777777" w:rsidR="0081735F" w:rsidRPr="005B5D9E" w:rsidRDefault="0081735F" w:rsidP="007334D1">
      <w:pPr>
        <w:spacing w:before="82"/>
      </w:pPr>
    </w:p>
    <w:sectPr w:rsidR="0081735F" w:rsidRPr="005B5D9E" w:rsidSect="007334D1">
      <w:headerReference w:type="default" r:id="rId14"/>
      <w:footerReference w:type="default" r:id="rId15"/>
      <w:pgSz w:w="12240" w:h="15840"/>
      <w:pgMar w:top="720" w:right="720" w:bottom="720" w:left="72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ACA4" w14:textId="77777777" w:rsidR="00600A7E" w:rsidRDefault="00600A7E">
      <w:r>
        <w:separator/>
      </w:r>
    </w:p>
  </w:endnote>
  <w:endnote w:type="continuationSeparator" w:id="0">
    <w:p w14:paraId="09E734F1" w14:textId="77777777" w:rsidR="00600A7E" w:rsidRDefault="0060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Gothic">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5BF6" w14:textId="77777777" w:rsidR="007D4451" w:rsidRDefault="007D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2176" w14:textId="77777777" w:rsidR="001C157E" w:rsidRPr="00272CA6" w:rsidRDefault="001C157E" w:rsidP="001C157E">
    <w:pPr>
      <w:pStyle w:val="Footer"/>
      <w:rPr>
        <w:sz w:val="18"/>
        <w:szCs w:val="18"/>
      </w:rPr>
    </w:pPr>
    <w:r w:rsidRPr="001C157E">
      <w:rPr>
        <w:color w:val="0072BC"/>
        <w:sz w:val="18"/>
        <w:szCs w:val="18"/>
      </w:rPr>
      <w:t>College of Occupational Therapists of Ontario</w:t>
    </w:r>
    <w:r>
      <w:rPr>
        <w:color w:val="0072BC"/>
        <w:sz w:val="18"/>
        <w:szCs w:val="18"/>
      </w:rPr>
      <w:tab/>
    </w:r>
    <w:r>
      <w:rPr>
        <w:color w:val="0072BC"/>
        <w:sz w:val="18"/>
        <w:szCs w:val="18"/>
      </w:rPr>
      <w:tab/>
    </w:r>
    <w:r w:rsidRPr="000F348F">
      <w:rPr>
        <w:color w:val="0072BC"/>
        <w:sz w:val="18"/>
        <w:szCs w:val="18"/>
      </w:rPr>
      <w:t xml:space="preserve"> </w:t>
    </w:r>
    <w:r w:rsidRPr="00272CA6">
      <w:rPr>
        <w:sz w:val="18"/>
        <w:szCs w:val="18"/>
      </w:rPr>
      <w:t xml:space="preserve">Page </w:t>
    </w:r>
    <w:r w:rsidRPr="00272CA6">
      <w:rPr>
        <w:sz w:val="18"/>
        <w:szCs w:val="18"/>
      </w:rPr>
      <w:fldChar w:fldCharType="begin"/>
    </w:r>
    <w:r w:rsidRPr="00272CA6">
      <w:rPr>
        <w:sz w:val="18"/>
        <w:szCs w:val="18"/>
      </w:rPr>
      <w:instrText xml:space="preserve"> PAGE  \* Arabic  \* MERGEFORMAT </w:instrText>
    </w:r>
    <w:r w:rsidRPr="00272CA6">
      <w:rPr>
        <w:sz w:val="18"/>
        <w:szCs w:val="18"/>
      </w:rPr>
      <w:fldChar w:fldCharType="separate"/>
    </w:r>
    <w:r>
      <w:rPr>
        <w:sz w:val="18"/>
        <w:szCs w:val="18"/>
      </w:rPr>
      <w:t>1</w:t>
    </w:r>
    <w:r w:rsidRPr="00272CA6">
      <w:rPr>
        <w:sz w:val="18"/>
        <w:szCs w:val="18"/>
      </w:rPr>
      <w:fldChar w:fldCharType="end"/>
    </w:r>
    <w:r w:rsidRPr="00272CA6">
      <w:rPr>
        <w:sz w:val="18"/>
        <w:szCs w:val="18"/>
      </w:rPr>
      <w:t xml:space="preserve"> of </w:t>
    </w:r>
    <w:r w:rsidRPr="00272CA6">
      <w:rPr>
        <w:sz w:val="18"/>
        <w:szCs w:val="18"/>
      </w:rPr>
      <w:fldChar w:fldCharType="begin"/>
    </w:r>
    <w:r w:rsidRPr="00272CA6">
      <w:rPr>
        <w:sz w:val="18"/>
        <w:szCs w:val="18"/>
      </w:rPr>
      <w:instrText xml:space="preserve"> NUMPAGES  \* Arabic  \* MERGEFORMAT </w:instrText>
    </w:r>
    <w:r w:rsidRPr="00272CA6">
      <w:rPr>
        <w:sz w:val="18"/>
        <w:szCs w:val="18"/>
      </w:rPr>
      <w:fldChar w:fldCharType="separate"/>
    </w:r>
    <w:r>
      <w:rPr>
        <w:sz w:val="18"/>
        <w:szCs w:val="18"/>
      </w:rPr>
      <w:t>4</w:t>
    </w:r>
    <w:r w:rsidRPr="00272CA6">
      <w:rPr>
        <w:sz w:val="18"/>
        <w:szCs w:val="18"/>
      </w:rPr>
      <w:fldChar w:fldCharType="end"/>
    </w:r>
  </w:p>
  <w:p w14:paraId="1F432BDF" w14:textId="00A6A3D7" w:rsidR="006D65EC" w:rsidRDefault="006D65EC" w:rsidP="001C157E">
    <w:pPr>
      <w:pStyle w:val="BodyText"/>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96BD" w14:textId="77777777" w:rsidR="007D4451" w:rsidRDefault="007D4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410140"/>
      <w:docPartObj>
        <w:docPartGallery w:val="Page Numbers (Bottom of Page)"/>
        <w:docPartUnique/>
      </w:docPartObj>
    </w:sdtPr>
    <w:sdtEndPr>
      <w:rPr>
        <w:noProof/>
      </w:rPr>
    </w:sdtEndPr>
    <w:sdtContent>
      <w:p w14:paraId="56E33F99" w14:textId="77777777" w:rsidR="00BE0218" w:rsidRDefault="00BE02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BBE6D" w14:textId="77777777" w:rsidR="00BE0218" w:rsidRDefault="00BE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E76F8" w14:textId="77777777" w:rsidR="00600A7E" w:rsidRDefault="00600A7E">
      <w:r>
        <w:separator/>
      </w:r>
    </w:p>
  </w:footnote>
  <w:footnote w:type="continuationSeparator" w:id="0">
    <w:p w14:paraId="06BAAA1B" w14:textId="77777777" w:rsidR="00600A7E" w:rsidRDefault="00600A7E">
      <w:r>
        <w:continuationSeparator/>
      </w:r>
    </w:p>
  </w:footnote>
  <w:footnote w:id="1">
    <w:p w14:paraId="60803004" w14:textId="77777777" w:rsidR="00AF2A63" w:rsidRPr="007334D1" w:rsidRDefault="00AF2A63" w:rsidP="00AF2A63">
      <w:pPr>
        <w:pStyle w:val="Default"/>
        <w:spacing w:after="240" w:line="276" w:lineRule="auto"/>
        <w:rPr>
          <w:sz w:val="22"/>
          <w:szCs w:val="22"/>
        </w:rPr>
      </w:pPr>
      <w:r w:rsidRPr="007334D1">
        <w:rPr>
          <w:rStyle w:val="FootnoteReference"/>
          <w:sz w:val="22"/>
          <w:szCs w:val="22"/>
        </w:rPr>
        <w:footnoteRef/>
      </w:r>
      <w:r w:rsidRPr="007334D1">
        <w:rPr>
          <w:sz w:val="22"/>
          <w:szCs w:val="22"/>
        </w:rPr>
        <w:t xml:space="preserve">Canadian Institute for Health Information Minimum Health Human Resources Data Standard  </w:t>
      </w:r>
      <w:hyperlink r:id="rId1">
        <w:r w:rsidRPr="007334D1">
          <w:rPr>
            <w:rStyle w:val="Hyperlink"/>
            <w:sz w:val="22"/>
            <w:szCs w:val="22"/>
          </w:rPr>
          <w:t>About the 2022 Health Human Resources Minimum Data Set Data Standard</w:t>
        </w:r>
      </w:hyperlink>
    </w:p>
  </w:footnote>
  <w:footnote w:id="2">
    <w:p w14:paraId="2ABD10E5" w14:textId="1F164313" w:rsidR="00AF2A63" w:rsidRPr="007334D1" w:rsidRDefault="00AF2A63" w:rsidP="00AF2A63">
      <w:pPr>
        <w:pStyle w:val="PolicyandProcedureHeading"/>
        <w:spacing w:before="0" w:after="240" w:line="276" w:lineRule="auto"/>
        <w:jc w:val="left"/>
        <w:rPr>
          <w:rFonts w:ascii="Arial" w:eastAsia="Arial Narrow" w:hAnsi="Arial" w:cs="Arial"/>
          <w:b w:val="0"/>
          <w:bCs w:val="0"/>
          <w:sz w:val="22"/>
          <w:szCs w:val="22"/>
        </w:rPr>
      </w:pPr>
      <w:r w:rsidRPr="007334D1">
        <w:rPr>
          <w:rStyle w:val="FootnoteReference"/>
          <w:rFonts w:ascii="Arial" w:hAnsi="Arial" w:cs="Arial"/>
          <w:sz w:val="22"/>
          <w:szCs w:val="22"/>
        </w:rPr>
        <w:footnoteRef/>
      </w:r>
      <w:r w:rsidRPr="007334D1">
        <w:rPr>
          <w:rFonts w:ascii="Arial" w:hAnsi="Arial" w:cs="Arial"/>
          <w:sz w:val="22"/>
          <w:szCs w:val="22"/>
        </w:rPr>
        <w:t xml:space="preserve"> </w:t>
      </w:r>
      <w:r w:rsidRPr="007334D1">
        <w:rPr>
          <w:rFonts w:ascii="Arial" w:eastAsia="Arial Narrow" w:hAnsi="Arial" w:cs="Arial"/>
          <w:b w:val="0"/>
          <w:bCs w:val="0"/>
          <w:sz w:val="22"/>
          <w:szCs w:val="22"/>
          <w:lang w:val="en-CA"/>
        </w:rPr>
        <w:t>Guidance for the Collection and Use of Sociodemographic Data for Equity Analytics, Ontario Health, June 2024</w:t>
      </w:r>
    </w:p>
  </w:footnote>
  <w:footnote w:id="3">
    <w:p w14:paraId="323DF8EF" w14:textId="77777777" w:rsidR="00AF2A63" w:rsidRPr="007334D1" w:rsidRDefault="00AF2A63" w:rsidP="00AF2A63">
      <w:pPr>
        <w:pStyle w:val="PolicyandProcedureHeading"/>
        <w:spacing w:before="0" w:after="240" w:line="276" w:lineRule="auto"/>
        <w:jc w:val="left"/>
        <w:rPr>
          <w:rFonts w:ascii="Arial" w:hAnsi="Arial" w:cs="Arial"/>
          <w:sz w:val="22"/>
          <w:szCs w:val="22"/>
        </w:rPr>
      </w:pPr>
      <w:r w:rsidRPr="007334D1">
        <w:rPr>
          <w:rStyle w:val="FootnoteReference"/>
          <w:rFonts w:ascii="Arial" w:hAnsi="Arial" w:cs="Arial"/>
          <w:sz w:val="22"/>
          <w:szCs w:val="22"/>
        </w:rPr>
        <w:footnoteRef/>
      </w:r>
      <w:r w:rsidRPr="007334D1">
        <w:rPr>
          <w:rFonts w:ascii="Arial" w:hAnsi="Arial" w:cs="Arial"/>
          <w:sz w:val="22"/>
          <w:szCs w:val="22"/>
        </w:rPr>
        <w:t xml:space="preserve"> </w:t>
      </w:r>
      <w:bookmarkStart w:id="2" w:name="_Hlk189472416"/>
      <w:r w:rsidRPr="007334D1">
        <w:rPr>
          <w:rFonts w:ascii="Arial" w:eastAsia="Arial Narrow" w:hAnsi="Arial" w:cs="Arial"/>
          <w:b w:val="0"/>
          <w:bCs w:val="0"/>
          <w:sz w:val="22"/>
          <w:szCs w:val="22"/>
          <w:lang w:val="en-CA"/>
        </w:rPr>
        <w:t>Guidance for the Collection and Use of Sociodemographic Data for Equity Analytics, Ontario Health, June 2024</w:t>
      </w:r>
      <w:bookmarkEnd w:id="2"/>
    </w:p>
  </w:footnote>
  <w:footnote w:id="4">
    <w:p w14:paraId="0E83B734" w14:textId="77777777" w:rsidR="00AF2A63" w:rsidRPr="007334D1" w:rsidRDefault="00AF2A63" w:rsidP="00AF2A63">
      <w:pPr>
        <w:pStyle w:val="PolicyandProcedureHeading"/>
        <w:spacing w:before="0" w:after="240" w:line="276" w:lineRule="auto"/>
        <w:jc w:val="left"/>
        <w:rPr>
          <w:rFonts w:ascii="Arial" w:hAnsi="Arial" w:cs="Arial"/>
          <w:sz w:val="22"/>
          <w:szCs w:val="22"/>
        </w:rPr>
      </w:pPr>
      <w:r w:rsidRPr="007334D1">
        <w:rPr>
          <w:rStyle w:val="FootnoteReference"/>
          <w:rFonts w:ascii="Arial" w:hAnsi="Arial" w:cs="Arial"/>
          <w:sz w:val="22"/>
          <w:szCs w:val="22"/>
        </w:rPr>
        <w:footnoteRef/>
      </w:r>
      <w:r w:rsidRPr="007334D1">
        <w:rPr>
          <w:rFonts w:ascii="Arial" w:hAnsi="Arial" w:cs="Arial"/>
          <w:sz w:val="22"/>
          <w:szCs w:val="22"/>
        </w:rPr>
        <w:t xml:space="preserve"> </w:t>
      </w:r>
      <w:r w:rsidRPr="007334D1">
        <w:rPr>
          <w:rFonts w:ascii="Arial" w:eastAsia="Arial Narrow" w:hAnsi="Arial" w:cs="Arial"/>
          <w:b w:val="0"/>
          <w:bCs w:val="0"/>
          <w:sz w:val="22"/>
          <w:szCs w:val="22"/>
          <w:lang w:val="en-CA"/>
        </w:rPr>
        <w:t>Guidance for the Collection and Use of Sociodemographic Data for Equity Analytics, Ontario Health, June 2024</w:t>
      </w:r>
    </w:p>
  </w:footnote>
  <w:footnote w:id="5">
    <w:p w14:paraId="6E17F937" w14:textId="77777777" w:rsidR="00AF2A63" w:rsidRPr="007334D1" w:rsidRDefault="00AF2A63" w:rsidP="00AF2A63">
      <w:pPr>
        <w:pStyle w:val="PolicyandProcedureHeading"/>
        <w:spacing w:before="0" w:after="240" w:line="276" w:lineRule="auto"/>
        <w:jc w:val="left"/>
        <w:rPr>
          <w:rFonts w:ascii="Arial" w:hAnsi="Arial" w:cs="Arial"/>
          <w:sz w:val="22"/>
          <w:szCs w:val="22"/>
        </w:rPr>
      </w:pPr>
      <w:r w:rsidRPr="007334D1">
        <w:rPr>
          <w:rStyle w:val="FootnoteReference"/>
          <w:rFonts w:ascii="Arial" w:hAnsi="Arial" w:cs="Arial"/>
          <w:sz w:val="22"/>
          <w:szCs w:val="22"/>
        </w:rPr>
        <w:footnoteRef/>
      </w:r>
      <w:r w:rsidRPr="007334D1">
        <w:rPr>
          <w:rFonts w:ascii="Arial" w:hAnsi="Arial" w:cs="Arial"/>
          <w:sz w:val="22"/>
          <w:szCs w:val="22"/>
        </w:rPr>
        <w:t xml:space="preserve"> </w:t>
      </w:r>
      <w:r w:rsidRPr="007334D1">
        <w:rPr>
          <w:rFonts w:ascii="Arial" w:eastAsia="Arial Narrow" w:hAnsi="Arial" w:cs="Arial"/>
          <w:b w:val="0"/>
          <w:bCs w:val="0"/>
          <w:sz w:val="22"/>
          <w:szCs w:val="22"/>
        </w:rPr>
        <w:t xml:space="preserve">Constitution Act, 1982, Section 35 (2) </w:t>
      </w:r>
    </w:p>
  </w:footnote>
  <w:footnote w:id="6">
    <w:p w14:paraId="22AA0305" w14:textId="77777777" w:rsidR="00AF2A63" w:rsidRPr="007334D1" w:rsidRDefault="00AF2A63" w:rsidP="00AF2A63">
      <w:pPr>
        <w:pStyle w:val="FootnoteText"/>
        <w:spacing w:after="240"/>
        <w:rPr>
          <w:rFonts w:ascii="Arial" w:hAnsi="Arial" w:cs="Arial"/>
          <w:sz w:val="22"/>
          <w:szCs w:val="22"/>
        </w:rPr>
      </w:pPr>
      <w:r w:rsidRPr="007334D1">
        <w:rPr>
          <w:rStyle w:val="FootnoteReference"/>
          <w:rFonts w:ascii="Arial" w:hAnsi="Arial" w:cs="Arial"/>
          <w:sz w:val="22"/>
          <w:szCs w:val="22"/>
        </w:rPr>
        <w:footnoteRef/>
      </w:r>
      <w:r w:rsidRPr="007334D1">
        <w:rPr>
          <w:rFonts w:ascii="Arial" w:hAnsi="Arial" w:cs="Arial"/>
          <w:sz w:val="22"/>
          <w:szCs w:val="22"/>
        </w:rPr>
        <w:t xml:space="preserve"> </w:t>
      </w:r>
      <w:r w:rsidRPr="007334D1">
        <w:rPr>
          <w:rFonts w:ascii="Arial" w:eastAsia="Arial Narrow" w:hAnsi="Arial" w:cs="Arial"/>
          <w:sz w:val="22"/>
          <w:szCs w:val="22"/>
        </w:rPr>
        <w:t>Government of Ontario’s Anti-Racism Data Standards (Standards) established to help identify and monitor systemic racism and racial disparities within the public sector.</w:t>
      </w:r>
    </w:p>
  </w:footnote>
  <w:footnote w:id="7">
    <w:p w14:paraId="6FFDAB5C" w14:textId="70800B0F" w:rsidR="00AF2A63" w:rsidRPr="007334D1" w:rsidRDefault="00AF2A63" w:rsidP="007334D1">
      <w:pPr>
        <w:pStyle w:val="Default"/>
        <w:spacing w:after="240" w:line="276" w:lineRule="auto"/>
        <w:rPr>
          <w:sz w:val="22"/>
          <w:szCs w:val="22"/>
        </w:rPr>
      </w:pPr>
      <w:r w:rsidRPr="007334D1">
        <w:rPr>
          <w:rStyle w:val="FootnoteReference"/>
          <w:sz w:val="22"/>
          <w:szCs w:val="22"/>
        </w:rPr>
        <w:footnoteRef/>
      </w:r>
      <w:r w:rsidRPr="007334D1">
        <w:rPr>
          <w:sz w:val="22"/>
          <w:szCs w:val="22"/>
        </w:rPr>
        <w:t xml:space="preserve"> Canadian Institute for Health Information Minimum Health Human Resources Data Standard  </w:t>
      </w:r>
      <w:hyperlink r:id="rId2">
        <w:r w:rsidRPr="007334D1">
          <w:rPr>
            <w:rStyle w:val="Hyperlink"/>
            <w:sz w:val="22"/>
            <w:szCs w:val="22"/>
          </w:rPr>
          <w:t>About the 2022 Health Human Resources Minimum Data Set Data Standard</w:t>
        </w:r>
      </w:hyperlink>
    </w:p>
  </w:footnote>
  <w:footnote w:id="8">
    <w:p w14:paraId="71146AF7" w14:textId="77777777" w:rsidR="00AF2A63" w:rsidRPr="007334D1" w:rsidRDefault="00AF2A63" w:rsidP="00AF2A63">
      <w:pPr>
        <w:pStyle w:val="Default"/>
        <w:spacing w:before="240" w:after="60" w:line="276" w:lineRule="auto"/>
      </w:pPr>
      <w:r w:rsidRPr="007334D1">
        <w:rPr>
          <w:rStyle w:val="FootnoteReference"/>
        </w:rPr>
        <w:footnoteRef/>
      </w:r>
      <w:r w:rsidRPr="007334D1">
        <w:t xml:space="preserve"> </w:t>
      </w:r>
      <w:r w:rsidRPr="007334D1">
        <w:rPr>
          <w:sz w:val="22"/>
          <w:szCs w:val="22"/>
        </w:rPr>
        <w:t xml:space="preserve">Canadian Institute for Health Information Minimum Health Human Resources Data Standard  </w:t>
      </w:r>
      <w:hyperlink r:id="rId3">
        <w:r w:rsidRPr="007334D1">
          <w:rPr>
            <w:rStyle w:val="Hyperlink"/>
            <w:sz w:val="22"/>
            <w:szCs w:val="22"/>
          </w:rPr>
          <w:t>About the 2022 Health Human Resources Minimum Data Set Data Standard</w:t>
        </w:r>
      </w:hyperlink>
    </w:p>
    <w:p w14:paraId="375867E4" w14:textId="77777777" w:rsidR="00AF2A63" w:rsidRPr="007334D1" w:rsidRDefault="00AF2A63" w:rsidP="00AF2A63">
      <w:pPr>
        <w:pStyle w:val="FootnoteText"/>
        <w:rPr>
          <w:rFonts w:ascii="Arial" w:hAnsi="Arial" w:cs="Arial"/>
        </w:rPr>
      </w:pPr>
    </w:p>
  </w:footnote>
  <w:footnote w:id="9">
    <w:p w14:paraId="5D8CD6A2" w14:textId="77777777" w:rsidR="007334D1" w:rsidRPr="007334D1" w:rsidRDefault="007334D1" w:rsidP="007334D1">
      <w:pPr>
        <w:pStyle w:val="Default"/>
        <w:spacing w:before="240" w:after="60" w:line="276" w:lineRule="auto"/>
      </w:pPr>
      <w:r w:rsidRPr="007334D1">
        <w:rPr>
          <w:rStyle w:val="FootnoteReference"/>
        </w:rPr>
        <w:footnoteRef/>
      </w:r>
      <w:r w:rsidRPr="007334D1">
        <w:t xml:space="preserve"> </w:t>
      </w:r>
      <w:hyperlink r:id="rId4">
        <w:r w:rsidRPr="007334D1">
          <w:rPr>
            <w:rStyle w:val="Hyperlink"/>
            <w:sz w:val="22"/>
            <w:szCs w:val="22"/>
          </w:rPr>
          <w:t>About the 2022 Health Human Resources Minimum Data Set Data Standard</w:t>
        </w:r>
      </w:hyperlink>
    </w:p>
    <w:p w14:paraId="7F12E595" w14:textId="77777777" w:rsidR="007334D1" w:rsidRPr="007334D1" w:rsidRDefault="007334D1" w:rsidP="007334D1">
      <w:pPr>
        <w:pStyle w:val="FootnoteText"/>
        <w:rPr>
          <w:rFonts w:ascii="Arial" w:hAnsi="Arial" w:cs="Arial"/>
        </w:rPr>
      </w:pPr>
    </w:p>
  </w:footnote>
  <w:footnote w:id="10">
    <w:p w14:paraId="12FE7214" w14:textId="77777777" w:rsidR="007334D1" w:rsidRPr="007334D1" w:rsidRDefault="007334D1" w:rsidP="007334D1">
      <w:pPr>
        <w:pStyle w:val="PolicyandProcedureHeading"/>
        <w:spacing w:after="60" w:line="276" w:lineRule="auto"/>
        <w:jc w:val="left"/>
        <w:rPr>
          <w:rFonts w:ascii="Arial" w:eastAsia="Arial Narrow" w:hAnsi="Arial" w:cs="Arial"/>
          <w:b w:val="0"/>
          <w:bCs w:val="0"/>
          <w:sz w:val="22"/>
          <w:szCs w:val="22"/>
        </w:rPr>
      </w:pPr>
      <w:r w:rsidRPr="007334D1">
        <w:rPr>
          <w:rStyle w:val="FootnoteReference"/>
          <w:rFonts w:ascii="Arial" w:hAnsi="Arial" w:cs="Arial"/>
        </w:rPr>
        <w:footnoteRef/>
      </w:r>
      <w:r w:rsidRPr="007334D1">
        <w:rPr>
          <w:rFonts w:ascii="Arial" w:hAnsi="Arial" w:cs="Arial"/>
        </w:rPr>
        <w:t xml:space="preserve"> </w:t>
      </w:r>
      <w:bookmarkStart w:id="37" w:name="_Hlk189472851"/>
      <w:r w:rsidRPr="007334D1">
        <w:rPr>
          <w:rFonts w:ascii="Arial" w:eastAsia="Arial Narrow" w:hAnsi="Arial" w:cs="Arial"/>
          <w:b w:val="0"/>
          <w:bCs w:val="0"/>
          <w:sz w:val="22"/>
          <w:szCs w:val="22"/>
          <w:lang w:val="en-CA"/>
        </w:rPr>
        <w:t>Guidance for the Collection and Use of Sociodemographic Data for Equity Analytics, Ontario Health, June 2024</w:t>
      </w:r>
      <w:bookmarkEnd w:id="37"/>
    </w:p>
  </w:footnote>
  <w:footnote w:id="11">
    <w:p w14:paraId="466B20F0" w14:textId="77777777" w:rsidR="007334D1" w:rsidRPr="007334D1" w:rsidRDefault="007334D1" w:rsidP="007334D1">
      <w:pPr>
        <w:pStyle w:val="Default"/>
        <w:spacing w:before="240" w:after="60" w:line="276" w:lineRule="auto"/>
      </w:pPr>
      <w:r w:rsidRPr="007334D1">
        <w:rPr>
          <w:rStyle w:val="FootnoteReference"/>
        </w:rPr>
        <w:footnoteRef/>
      </w:r>
      <w:r w:rsidRPr="007334D1">
        <w:t xml:space="preserve"> </w:t>
      </w:r>
      <w:hyperlink r:id="rId5">
        <w:r w:rsidRPr="007334D1">
          <w:rPr>
            <w:rStyle w:val="Hyperlink"/>
            <w:sz w:val="22"/>
            <w:szCs w:val="22"/>
          </w:rPr>
          <w:t>About the 2022 Health Human Resources Minimum Data Set Data Standard</w:t>
        </w:r>
      </w:hyperlink>
    </w:p>
    <w:p w14:paraId="16DB6F75" w14:textId="77777777" w:rsidR="007334D1" w:rsidRPr="007334D1" w:rsidRDefault="007334D1" w:rsidP="007334D1">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0F07" w14:textId="77777777" w:rsidR="007D4451" w:rsidRDefault="007D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3B81" w14:textId="77777777" w:rsidR="001C157E" w:rsidRDefault="001C157E" w:rsidP="001C157E">
    <w:pPr>
      <w:pStyle w:val="Header"/>
      <w:ind w:left="170"/>
    </w:pPr>
    <w:bookmarkStart w:id="17" w:name="_Hlk481569233"/>
    <w:bookmarkStart w:id="18" w:name="_Hlk481569234"/>
    <w:bookmarkStart w:id="19" w:name="_Hlk481569235"/>
    <w:bookmarkStart w:id="20" w:name="_Hlk481569236"/>
    <w:bookmarkStart w:id="21" w:name="_Hlk481568154"/>
    <w:bookmarkStart w:id="22" w:name="_Hlk481568153"/>
    <w:bookmarkStart w:id="23" w:name="_Hlk481568152"/>
    <w:bookmarkStart w:id="24" w:name="_Hlk481568151"/>
    <w:bookmarkStart w:id="25" w:name="_Hlk481568076"/>
    <w:bookmarkStart w:id="26" w:name="_Hlk481568075"/>
    <w:bookmarkStart w:id="27" w:name="_Hlk72336529"/>
    <w:bookmarkStart w:id="28" w:name="_Hlk72336530"/>
    <w:bookmarkStart w:id="29" w:name="_Hlk72336531"/>
    <w:bookmarkStart w:id="30" w:name="_Hlk72336532"/>
    <w:bookmarkStart w:id="31" w:name="_Hlk72336533"/>
    <w:bookmarkStart w:id="32" w:name="_Hlk72336534"/>
  </w:p>
  <w:p w14:paraId="29120EC7" w14:textId="1420D05B" w:rsidR="001C157E" w:rsidRPr="001C157E" w:rsidRDefault="001C157E" w:rsidP="001C157E">
    <w:pPr>
      <w:pStyle w:val="Header"/>
    </w:pPr>
    <w:r>
      <w:rPr>
        <w:noProof/>
      </w:rPr>
      <w:drawing>
        <wp:inline distT="0" distB="0" distL="0" distR="0" wp14:anchorId="34CDB83E" wp14:editId="5F8FA0C0">
          <wp:extent cx="3557082" cy="375469"/>
          <wp:effectExtent l="0" t="0" r="0" b="5715"/>
          <wp:docPr id="8" name="Picture 8" descr="Logo for COTO, the College of Occupational Therapists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for COTO, the College of Occupational Therapists of Ontario"/>
                  <pic:cNvPicPr/>
                </pic:nvPicPr>
                <pic:blipFill>
                  <a:blip r:embed="rId1">
                    <a:extLst>
                      <a:ext uri="{28A0092B-C50C-407E-A947-70E740481C1C}">
                        <a14:useLocalDpi xmlns:a14="http://schemas.microsoft.com/office/drawing/2010/main" val="0"/>
                      </a:ext>
                    </a:extLst>
                  </a:blip>
                  <a:stretch>
                    <a:fillRect/>
                  </a:stretch>
                </pic:blipFill>
                <pic:spPr>
                  <a:xfrm>
                    <a:off x="0" y="0"/>
                    <a:ext cx="3557082" cy="375469"/>
                  </a:xfrm>
                  <a:prstGeom prst="rect">
                    <a:avLst/>
                  </a:prstGeom>
                </pic:spPr>
              </pic:pic>
            </a:graphicData>
          </a:graphic>
        </wp:inline>
      </w:drawing>
    </w:r>
    <w:r>
      <w:br/>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927180A" w14:textId="34883B98" w:rsidR="002415BB" w:rsidRPr="001C157E" w:rsidRDefault="002415BB" w:rsidP="001C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C1AB" w14:textId="77777777" w:rsidR="007D4451" w:rsidRDefault="007D44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547A" w14:textId="021C0132" w:rsidR="00BE0218" w:rsidRDefault="00BE0218">
    <w:pPr>
      <w:pStyle w:val="Header"/>
    </w:pPr>
    <w:r>
      <w:rPr>
        <w:noProof/>
      </w:rPr>
      <w:drawing>
        <wp:inline distT="0" distB="0" distL="0" distR="0" wp14:anchorId="20D3887B" wp14:editId="23CD0B15">
          <wp:extent cx="3191774" cy="654723"/>
          <wp:effectExtent l="0" t="0" r="8890" b="0"/>
          <wp:docPr id="653353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602" cy="6630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003D"/>
    <w:multiLevelType w:val="multilevel"/>
    <w:tmpl w:val="3356BEA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080" w:hanging="360"/>
      </w:pPr>
      <w:rPr>
        <w:rFonts w:hint="default"/>
        <w:b w:val="0"/>
        <w:bCs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B6652"/>
    <w:multiLevelType w:val="multilevel"/>
    <w:tmpl w:val="526430A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080" w:hanging="360"/>
      </w:pPr>
      <w:rPr>
        <w:rFonts w:hint="default"/>
        <w:b w:val="0"/>
        <w:bCs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83565"/>
    <w:multiLevelType w:val="hybridMultilevel"/>
    <w:tmpl w:val="C6A427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9852A2"/>
    <w:multiLevelType w:val="hybridMultilevel"/>
    <w:tmpl w:val="2A3CBC34"/>
    <w:lvl w:ilvl="0" w:tplc="C8D427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021FD"/>
    <w:multiLevelType w:val="multilevel"/>
    <w:tmpl w:val="26AAC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1A18"/>
    <w:multiLevelType w:val="hybridMultilevel"/>
    <w:tmpl w:val="AF725722"/>
    <w:lvl w:ilvl="0" w:tplc="FFFFFFFF">
      <w:start w:val="1"/>
      <w:numFmt w:val="decimal"/>
      <w:lvlText w:val="%1."/>
      <w:lvlJc w:val="left"/>
      <w:pPr>
        <w:ind w:left="720" w:hanging="360"/>
      </w:pPr>
      <w:rPr>
        <w:rFonts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8B5CF2"/>
    <w:multiLevelType w:val="multilevel"/>
    <w:tmpl w:val="1EA27CE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080" w:hanging="360"/>
      </w:pPr>
      <w:rPr>
        <w:rFonts w:hint="default"/>
        <w:b w:val="0"/>
        <w:bCs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B5B90"/>
    <w:multiLevelType w:val="hybridMultilevel"/>
    <w:tmpl w:val="D27A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C33DA"/>
    <w:multiLevelType w:val="multilevel"/>
    <w:tmpl w:val="518E2494"/>
    <w:lvl w:ilvl="0">
      <w:start w:val="1"/>
      <w:numFmt w:val="decimal"/>
      <w:lvlText w:val="%1."/>
      <w:lvlJc w:val="left"/>
      <w:pPr>
        <w:tabs>
          <w:tab w:val="num" w:pos="360"/>
        </w:tabs>
        <w:ind w:left="360" w:hanging="360"/>
      </w:pPr>
      <w:rPr>
        <w:rFonts w:ascii="Arial" w:eastAsia="Times New Roman" w:hAnsi="Arial" w:cs="Arial"/>
        <w:b w:val="0"/>
        <w:bCs w:val="0"/>
        <w:sz w:val="22"/>
        <w:szCs w:val="22"/>
      </w:rPr>
    </w:lvl>
    <w:lvl w:ilvl="1">
      <w:start w:val="1"/>
      <w:numFmt w:val="decimal"/>
      <w:lvlText w:val="%2."/>
      <w:lvlJc w:val="left"/>
      <w:pPr>
        <w:ind w:left="720" w:hanging="360"/>
      </w:pPr>
      <w:rPr>
        <w:rFonts w:hint="default"/>
        <w:b w:val="0"/>
        <w:bCs w:val="0"/>
        <w:sz w:val="20"/>
        <w:szCs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D011CD2"/>
    <w:multiLevelType w:val="hybridMultilevel"/>
    <w:tmpl w:val="B3987B86"/>
    <w:lvl w:ilvl="0" w:tplc="5AD2C586">
      <w:start w:val="1"/>
      <w:numFmt w:val="decimal"/>
      <w:lvlText w:val="%1."/>
      <w:lvlJc w:val="left"/>
      <w:pPr>
        <w:ind w:left="860" w:hanging="360"/>
      </w:pPr>
      <w:rPr>
        <w:rFonts w:ascii="Arial" w:eastAsia="Arial" w:hAnsi="Arial" w:cs="Arial" w:hint="default"/>
        <w:b w:val="0"/>
        <w:bCs w:val="0"/>
        <w:i w:val="0"/>
        <w:iCs w:val="0"/>
        <w:spacing w:val="-1"/>
        <w:w w:val="100"/>
        <w:sz w:val="22"/>
        <w:szCs w:val="22"/>
        <w:lang w:val="en-US" w:eastAsia="en-US" w:bidi="ar-SA"/>
      </w:rPr>
    </w:lvl>
    <w:lvl w:ilvl="1" w:tplc="287ED99E">
      <w:numFmt w:val="bullet"/>
      <w:lvlText w:val="•"/>
      <w:lvlJc w:val="left"/>
      <w:pPr>
        <w:ind w:left="860" w:hanging="361"/>
      </w:pPr>
      <w:rPr>
        <w:rFonts w:ascii="Arial" w:eastAsia="Arial" w:hAnsi="Arial" w:cs="Arial" w:hint="default"/>
        <w:b w:val="0"/>
        <w:bCs w:val="0"/>
        <w:i w:val="0"/>
        <w:iCs w:val="0"/>
        <w:w w:val="131"/>
        <w:sz w:val="22"/>
        <w:szCs w:val="22"/>
        <w:lang w:val="en-US" w:eastAsia="en-US" w:bidi="ar-SA"/>
      </w:rPr>
    </w:lvl>
    <w:lvl w:ilvl="2" w:tplc="3FF85EBC">
      <w:numFmt w:val="bullet"/>
      <w:lvlText w:val="•"/>
      <w:lvlJc w:val="left"/>
      <w:pPr>
        <w:ind w:left="2724" w:hanging="361"/>
      </w:pPr>
      <w:rPr>
        <w:rFonts w:hint="default"/>
        <w:lang w:val="en-US" w:eastAsia="en-US" w:bidi="ar-SA"/>
      </w:rPr>
    </w:lvl>
    <w:lvl w:ilvl="3" w:tplc="D3F27004">
      <w:numFmt w:val="bullet"/>
      <w:lvlText w:val="•"/>
      <w:lvlJc w:val="left"/>
      <w:pPr>
        <w:ind w:left="3656" w:hanging="361"/>
      </w:pPr>
      <w:rPr>
        <w:rFonts w:hint="default"/>
        <w:lang w:val="en-US" w:eastAsia="en-US" w:bidi="ar-SA"/>
      </w:rPr>
    </w:lvl>
    <w:lvl w:ilvl="4" w:tplc="E60A93BA">
      <w:numFmt w:val="bullet"/>
      <w:lvlText w:val="•"/>
      <w:lvlJc w:val="left"/>
      <w:pPr>
        <w:ind w:left="4588" w:hanging="361"/>
      </w:pPr>
      <w:rPr>
        <w:rFonts w:hint="default"/>
        <w:lang w:val="en-US" w:eastAsia="en-US" w:bidi="ar-SA"/>
      </w:rPr>
    </w:lvl>
    <w:lvl w:ilvl="5" w:tplc="BC7A3A8E">
      <w:numFmt w:val="bullet"/>
      <w:lvlText w:val="•"/>
      <w:lvlJc w:val="left"/>
      <w:pPr>
        <w:ind w:left="5520" w:hanging="361"/>
      </w:pPr>
      <w:rPr>
        <w:rFonts w:hint="default"/>
        <w:lang w:val="en-US" w:eastAsia="en-US" w:bidi="ar-SA"/>
      </w:rPr>
    </w:lvl>
    <w:lvl w:ilvl="6" w:tplc="E6E0BA68">
      <w:numFmt w:val="bullet"/>
      <w:lvlText w:val="•"/>
      <w:lvlJc w:val="left"/>
      <w:pPr>
        <w:ind w:left="6452" w:hanging="361"/>
      </w:pPr>
      <w:rPr>
        <w:rFonts w:hint="default"/>
        <w:lang w:val="en-US" w:eastAsia="en-US" w:bidi="ar-SA"/>
      </w:rPr>
    </w:lvl>
    <w:lvl w:ilvl="7" w:tplc="BC989410">
      <w:numFmt w:val="bullet"/>
      <w:lvlText w:val="•"/>
      <w:lvlJc w:val="left"/>
      <w:pPr>
        <w:ind w:left="7384" w:hanging="361"/>
      </w:pPr>
      <w:rPr>
        <w:rFonts w:hint="default"/>
        <w:lang w:val="en-US" w:eastAsia="en-US" w:bidi="ar-SA"/>
      </w:rPr>
    </w:lvl>
    <w:lvl w:ilvl="8" w:tplc="BB38DCCE">
      <w:numFmt w:val="bullet"/>
      <w:lvlText w:val="•"/>
      <w:lvlJc w:val="left"/>
      <w:pPr>
        <w:ind w:left="8316" w:hanging="361"/>
      </w:pPr>
      <w:rPr>
        <w:rFonts w:hint="default"/>
        <w:lang w:val="en-US" w:eastAsia="en-US" w:bidi="ar-SA"/>
      </w:rPr>
    </w:lvl>
  </w:abstractNum>
  <w:abstractNum w:abstractNumId="10" w15:restartNumberingAfterBreak="0">
    <w:nsid w:val="3E6B499E"/>
    <w:multiLevelType w:val="hybridMultilevel"/>
    <w:tmpl w:val="C5FE5E44"/>
    <w:lvl w:ilvl="0" w:tplc="ABE63662">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1E79E9"/>
    <w:multiLevelType w:val="multilevel"/>
    <w:tmpl w:val="31AE6E0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080" w:hanging="360"/>
      </w:pPr>
      <w:rPr>
        <w:rFonts w:hint="default"/>
        <w:b w:val="0"/>
        <w:bCs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20457"/>
    <w:multiLevelType w:val="hybridMultilevel"/>
    <w:tmpl w:val="AF725722"/>
    <w:lvl w:ilvl="0" w:tplc="FFFFFFFF">
      <w:start w:val="1"/>
      <w:numFmt w:val="decimal"/>
      <w:lvlText w:val="%1."/>
      <w:lvlJc w:val="left"/>
      <w:pPr>
        <w:ind w:left="720" w:hanging="360"/>
      </w:pPr>
      <w:rPr>
        <w:rFonts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72038E"/>
    <w:multiLevelType w:val="multilevel"/>
    <w:tmpl w:val="92A41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80" w:hanging="360"/>
      </w:pPr>
      <w:rPr>
        <w:rFonts w:hint="default"/>
        <w:b w:val="0"/>
        <w:bCs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47D97"/>
    <w:multiLevelType w:val="hybridMultilevel"/>
    <w:tmpl w:val="256850E8"/>
    <w:lvl w:ilvl="0" w:tplc="B46C0452">
      <w:numFmt w:val="bullet"/>
      <w:lvlText w:val="•"/>
      <w:lvlJc w:val="left"/>
      <w:pPr>
        <w:ind w:left="720" w:hanging="153"/>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BD012B"/>
    <w:multiLevelType w:val="hybridMultilevel"/>
    <w:tmpl w:val="E3BAE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13A28"/>
    <w:multiLevelType w:val="hybridMultilevel"/>
    <w:tmpl w:val="C1988156"/>
    <w:lvl w:ilvl="0" w:tplc="4CC45366">
      <w:start w:val="1"/>
      <w:numFmt w:val="decimal"/>
      <w:lvlText w:val="%1."/>
      <w:lvlJc w:val="left"/>
      <w:pPr>
        <w:ind w:left="1080" w:hanging="360"/>
      </w:pPr>
      <w:rPr>
        <w:rFonts w:hint="default"/>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E704B8A"/>
    <w:multiLevelType w:val="multilevel"/>
    <w:tmpl w:val="364EA1D6"/>
    <w:lvl w:ilvl="0">
      <w:start w:val="1"/>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ind w:left="1080" w:hanging="360"/>
      </w:pPr>
      <w:rPr>
        <w:rFonts w:hint="default"/>
        <w:b w:val="0"/>
        <w:bCs w:val="0"/>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B5BEA"/>
    <w:multiLevelType w:val="hybridMultilevel"/>
    <w:tmpl w:val="E77C2D7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72340"/>
    <w:multiLevelType w:val="multilevel"/>
    <w:tmpl w:val="3DDA44AC"/>
    <w:lvl w:ilvl="0">
      <w:start w:val="1"/>
      <w:numFmt w:val="decimal"/>
      <w:lvlText w:val="%1."/>
      <w:lvlJc w:val="left"/>
      <w:pPr>
        <w:tabs>
          <w:tab w:val="num" w:pos="720"/>
        </w:tabs>
        <w:ind w:left="720" w:hanging="360"/>
      </w:pPr>
      <w:rPr>
        <w:rFonts w:ascii="Arial" w:eastAsia="Times New Roman" w:hAnsi="Arial" w:cs="Aria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603FC"/>
    <w:multiLevelType w:val="hybridMultilevel"/>
    <w:tmpl w:val="3A2639C2"/>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5683A"/>
    <w:multiLevelType w:val="hybridMultilevel"/>
    <w:tmpl w:val="6F36ECBA"/>
    <w:lvl w:ilvl="0" w:tplc="E8106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006169">
    <w:abstractNumId w:val="9"/>
  </w:num>
  <w:num w:numId="2" w16cid:durableId="299070467">
    <w:abstractNumId w:val="18"/>
  </w:num>
  <w:num w:numId="3" w16cid:durableId="685600724">
    <w:abstractNumId w:val="20"/>
  </w:num>
  <w:num w:numId="4" w16cid:durableId="1377386019">
    <w:abstractNumId w:val="21"/>
  </w:num>
  <w:num w:numId="5" w16cid:durableId="627319491">
    <w:abstractNumId w:val="15"/>
  </w:num>
  <w:num w:numId="6" w16cid:durableId="1034504436">
    <w:abstractNumId w:val="12"/>
  </w:num>
  <w:num w:numId="7" w16cid:durableId="801078088">
    <w:abstractNumId w:val="5"/>
  </w:num>
  <w:num w:numId="8" w16cid:durableId="1230843205">
    <w:abstractNumId w:val="4"/>
  </w:num>
  <w:num w:numId="9" w16cid:durableId="527719681">
    <w:abstractNumId w:val="19"/>
  </w:num>
  <w:num w:numId="10" w16cid:durableId="2129354357">
    <w:abstractNumId w:val="13"/>
  </w:num>
  <w:num w:numId="11" w16cid:durableId="697851529">
    <w:abstractNumId w:val="8"/>
  </w:num>
  <w:num w:numId="12" w16cid:durableId="433092043">
    <w:abstractNumId w:val="0"/>
  </w:num>
  <w:num w:numId="13" w16cid:durableId="336810647">
    <w:abstractNumId w:val="11"/>
  </w:num>
  <w:num w:numId="14" w16cid:durableId="80878123">
    <w:abstractNumId w:val="6"/>
  </w:num>
  <w:num w:numId="15" w16cid:durableId="926155209">
    <w:abstractNumId w:val="17"/>
  </w:num>
  <w:num w:numId="16" w16cid:durableId="1955167151">
    <w:abstractNumId w:val="10"/>
  </w:num>
  <w:num w:numId="17" w16cid:durableId="1509637415">
    <w:abstractNumId w:val="16"/>
  </w:num>
  <w:num w:numId="18" w16cid:durableId="352152137">
    <w:abstractNumId w:val="1"/>
  </w:num>
  <w:num w:numId="19" w16cid:durableId="393744156">
    <w:abstractNumId w:val="2"/>
  </w:num>
  <w:num w:numId="20" w16cid:durableId="258295390">
    <w:abstractNumId w:val="7"/>
  </w:num>
  <w:num w:numId="21" w16cid:durableId="1423912446">
    <w:abstractNumId w:val="14"/>
  </w:num>
  <w:num w:numId="22" w16cid:durableId="1223517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5EC"/>
    <w:rsid w:val="00124F14"/>
    <w:rsid w:val="00181A92"/>
    <w:rsid w:val="001C157E"/>
    <w:rsid w:val="00240777"/>
    <w:rsid w:val="002415BB"/>
    <w:rsid w:val="00360F2D"/>
    <w:rsid w:val="005B5D9E"/>
    <w:rsid w:val="00600A7E"/>
    <w:rsid w:val="006D65EC"/>
    <w:rsid w:val="007334D1"/>
    <w:rsid w:val="00787B5C"/>
    <w:rsid w:val="007D4451"/>
    <w:rsid w:val="0081735F"/>
    <w:rsid w:val="008D151C"/>
    <w:rsid w:val="00AF2A63"/>
    <w:rsid w:val="00B36D08"/>
    <w:rsid w:val="00BE0218"/>
    <w:rsid w:val="00C37054"/>
    <w:rsid w:val="00C50BCE"/>
    <w:rsid w:val="00C67A58"/>
    <w:rsid w:val="00EF0C9D"/>
    <w:rsid w:val="00F42EB4"/>
    <w:rsid w:val="00F847A0"/>
    <w:rsid w:val="00FF2B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B2AC60"/>
  <w15:docId w15:val="{1F7CB30B-4E98-4C42-93B0-6B7386D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AF2A63"/>
    <w:pPr>
      <w:spacing w:before="240" w:after="60" w:line="276" w:lineRule="auto"/>
      <w:jc w:val="both"/>
      <w:outlineLvl w:val="0"/>
    </w:pPr>
    <w:rPr>
      <w:b/>
      <w:bCs/>
      <w:sz w:val="28"/>
      <w:szCs w:val="28"/>
    </w:rPr>
  </w:style>
  <w:style w:type="paragraph" w:styleId="Heading2">
    <w:name w:val="heading 2"/>
    <w:basedOn w:val="Normal"/>
    <w:uiPriority w:val="9"/>
    <w:unhideWhenUsed/>
    <w:qFormat/>
    <w:rsid w:val="007334D1"/>
    <w:pPr>
      <w:spacing w:before="240" w:after="60" w:line="276" w:lineRule="auto"/>
      <w:outlineLvl w:val="1"/>
    </w:pPr>
    <w:rPr>
      <w:rFonts w:eastAsia="Times New Roman"/>
      <w:b/>
      <w:bCs/>
      <w:color w:val="0072B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D9E"/>
    <w:pPr>
      <w:ind w:left="142"/>
    </w:pPr>
  </w:style>
  <w:style w:type="paragraph" w:styleId="Title">
    <w:name w:val="Title"/>
    <w:basedOn w:val="Normal"/>
    <w:uiPriority w:val="10"/>
    <w:qFormat/>
    <w:pPr>
      <w:spacing w:before="88"/>
      <w:ind w:left="140"/>
    </w:pPr>
    <w:rPr>
      <w:b/>
      <w:bCs/>
      <w:sz w:val="36"/>
      <w:szCs w:val="36"/>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415BB"/>
    <w:pPr>
      <w:tabs>
        <w:tab w:val="center" w:pos="4680"/>
        <w:tab w:val="right" w:pos="9360"/>
      </w:tabs>
    </w:pPr>
  </w:style>
  <w:style w:type="character" w:customStyle="1" w:styleId="HeaderChar">
    <w:name w:val="Header Char"/>
    <w:basedOn w:val="DefaultParagraphFont"/>
    <w:link w:val="Header"/>
    <w:uiPriority w:val="99"/>
    <w:rsid w:val="002415BB"/>
    <w:rPr>
      <w:rFonts w:ascii="Arial" w:eastAsia="Arial" w:hAnsi="Arial" w:cs="Arial"/>
    </w:rPr>
  </w:style>
  <w:style w:type="paragraph" w:styleId="Footer">
    <w:name w:val="footer"/>
    <w:basedOn w:val="Normal"/>
    <w:link w:val="FooterChar"/>
    <w:uiPriority w:val="99"/>
    <w:unhideWhenUsed/>
    <w:rsid w:val="002415BB"/>
    <w:pPr>
      <w:tabs>
        <w:tab w:val="center" w:pos="4680"/>
        <w:tab w:val="right" w:pos="9360"/>
      </w:tabs>
    </w:pPr>
  </w:style>
  <w:style w:type="character" w:customStyle="1" w:styleId="FooterChar">
    <w:name w:val="Footer Char"/>
    <w:basedOn w:val="DefaultParagraphFont"/>
    <w:link w:val="Footer"/>
    <w:uiPriority w:val="99"/>
    <w:rsid w:val="002415BB"/>
    <w:rPr>
      <w:rFonts w:ascii="Arial" w:eastAsia="Arial" w:hAnsi="Arial" w:cs="Arial"/>
    </w:rPr>
  </w:style>
  <w:style w:type="table" w:styleId="TableGrid">
    <w:name w:val="Table Grid"/>
    <w:basedOn w:val="TableNormal"/>
    <w:uiPriority w:val="39"/>
    <w:rsid w:val="005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4F14"/>
    <w:pPr>
      <w:widowControl/>
      <w:adjustRightInd w:val="0"/>
    </w:pPr>
    <w:rPr>
      <w:rFonts w:ascii="Arial" w:hAnsi="Arial" w:cs="Arial"/>
      <w:color w:val="000000"/>
      <w:sz w:val="24"/>
      <w:szCs w:val="24"/>
    </w:rPr>
  </w:style>
  <w:style w:type="paragraph" w:customStyle="1" w:styleId="PolicyandProcedureHeading">
    <w:name w:val="Policy and Procedure Heading"/>
    <w:basedOn w:val="Normal"/>
    <w:rsid w:val="00AF2A63"/>
    <w:pPr>
      <w:widowControl/>
      <w:autoSpaceDE/>
      <w:autoSpaceDN/>
      <w:spacing w:before="240" w:after="120"/>
      <w:jc w:val="both"/>
    </w:pPr>
    <w:rPr>
      <w:rFonts w:ascii="TradeGothic" w:eastAsia="Times New Roman" w:hAnsi="TradeGothic" w:cs="Times New Roman"/>
      <w:b/>
      <w:bCs/>
      <w:spacing w:val="-5"/>
      <w:sz w:val="24"/>
      <w:szCs w:val="20"/>
    </w:rPr>
  </w:style>
  <w:style w:type="character" w:styleId="Hyperlink">
    <w:name w:val="Hyperlink"/>
    <w:basedOn w:val="DefaultParagraphFont"/>
    <w:uiPriority w:val="99"/>
    <w:unhideWhenUsed/>
    <w:rsid w:val="00AF2A63"/>
    <w:rPr>
      <w:color w:val="467886"/>
      <w:u w:val="single"/>
    </w:rPr>
  </w:style>
  <w:style w:type="paragraph" w:styleId="FootnoteText">
    <w:name w:val="footnote text"/>
    <w:basedOn w:val="Normal"/>
    <w:link w:val="FootnoteTextChar"/>
    <w:uiPriority w:val="99"/>
    <w:semiHidden/>
    <w:unhideWhenUsed/>
    <w:rsid w:val="00AF2A63"/>
    <w:pPr>
      <w:widowControl/>
      <w:autoSpaceDE/>
      <w:autoSpaceDN/>
    </w:pPr>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semiHidden/>
    <w:rsid w:val="00AF2A63"/>
    <w:rPr>
      <w:sz w:val="20"/>
      <w:szCs w:val="20"/>
      <w:lang w:val="en-CA"/>
    </w:rPr>
  </w:style>
  <w:style w:type="character" w:styleId="FootnoteReference">
    <w:name w:val="footnote reference"/>
    <w:basedOn w:val="DefaultParagraphFont"/>
    <w:uiPriority w:val="99"/>
    <w:semiHidden/>
    <w:unhideWhenUsed/>
    <w:rsid w:val="00AF2A63"/>
    <w:rPr>
      <w:vertAlign w:val="superscript"/>
    </w:rPr>
  </w:style>
  <w:style w:type="paragraph" w:styleId="NormalWeb">
    <w:name w:val="Normal (Web)"/>
    <w:basedOn w:val="Normal"/>
    <w:uiPriority w:val="99"/>
    <w:semiHidden/>
    <w:unhideWhenUsed/>
    <w:rsid w:val="00AF2A63"/>
    <w:pPr>
      <w:widowControl/>
      <w:autoSpaceDE/>
      <w:autoSpaceDN/>
      <w:spacing w:before="100" w:beforeAutospacing="1" w:after="100" w:afterAutospacing="1"/>
    </w:pPr>
    <w:rPr>
      <w:rFonts w:ascii="Times New Roman" w:eastAsiaTheme="minorEastAsia" w:hAnsi="Times New Roman" w:cs="Times New Roman"/>
      <w:sz w:val="24"/>
      <w:szCs w:val="24"/>
      <w:lang w:val="en-CA" w:eastAsia="en-CA"/>
    </w:rPr>
  </w:style>
  <w:style w:type="paragraph" w:customStyle="1" w:styleId="Pa14">
    <w:name w:val="Pa14"/>
    <w:basedOn w:val="Default"/>
    <w:next w:val="Default"/>
    <w:uiPriority w:val="99"/>
    <w:rsid w:val="007334D1"/>
    <w:pPr>
      <w:spacing w:line="281" w:lineRule="atLeast"/>
    </w:pPr>
    <w:rPr>
      <w:color w:val="auto"/>
    </w:rPr>
  </w:style>
  <w:style w:type="character" w:customStyle="1" w:styleId="A6">
    <w:name w:val="A6"/>
    <w:uiPriority w:val="99"/>
    <w:rsid w:val="007334D1"/>
    <w:rPr>
      <w:color w:val="000000"/>
      <w:sz w:val="12"/>
      <w:szCs w:val="12"/>
    </w:rPr>
  </w:style>
  <w:style w:type="paragraph" w:customStyle="1" w:styleId="Pa16">
    <w:name w:val="Pa16"/>
    <w:basedOn w:val="Default"/>
    <w:next w:val="Default"/>
    <w:uiPriority w:val="99"/>
    <w:rsid w:val="007334D1"/>
    <w:pPr>
      <w:spacing w:line="21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to.org/clientsandthepublic/how-to-find-an-o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cihi.ca/sites/default/files/document/hhr-mds-data-standard-infosheet-en.pdf" TargetMode="External"/><Relationship Id="rId2" Type="http://schemas.openxmlformats.org/officeDocument/2006/relationships/hyperlink" Target="https://www.cihi.ca/sites/default/files/document/hhr-mds-data-standard-infosheet-en.pdf" TargetMode="External"/><Relationship Id="rId1" Type="http://schemas.openxmlformats.org/officeDocument/2006/relationships/hyperlink" Target="https://www.cihi.ca/sites/default/files/document/hhr-mds-data-standard-infosheet-en.pdf" TargetMode="External"/><Relationship Id="rId5" Type="http://schemas.openxmlformats.org/officeDocument/2006/relationships/hyperlink" Target="https://www.cihi.ca/sites/default/files/document/hhr-mds-data-standard-infosheet-en.pdf" TargetMode="External"/><Relationship Id="rId4" Type="http://schemas.openxmlformats.org/officeDocument/2006/relationships/hyperlink" Target="https://www.cihi.ca/sites/default/files/document/hhr-mds-data-standard-infosheet-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2606</Words>
  <Characters>15481</Characters>
  <Application>Microsoft Office Word</Application>
  <DocSecurity>0</DocSecurity>
  <Lines>336</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Brandi Park</dc:creator>
  <cp:lastModifiedBy>Yvonne Leung</cp:lastModifiedBy>
  <cp:revision>6</cp:revision>
  <dcterms:created xsi:type="dcterms:W3CDTF">2025-02-26T13:59:00Z</dcterms:created>
  <dcterms:modified xsi:type="dcterms:W3CDTF">2025-02-26T14:26:00Z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2022-12-23T00:00:00Z</vt:filetime>
  </property>
  <property fmtid="{D5CDD505-2E9C-101B-9397-08002B2CF9AE}" pid="5" name="Producer">
    <vt:lpwstr>Adobe PDF Library 21.7.123</vt:lpwstr>
  </property>
  <property fmtid="{D5CDD505-2E9C-101B-9397-08002B2CF9AE}" pid="6" name="SourceModified">
    <vt:lpwstr>D:20210930133939</vt:lpwstr>
  </property>
</Properties>
</file>