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78063E8F" w:rsidR="006D65EC" w:rsidRPr="005B5D9E" w:rsidRDefault="00520EE7">
      <w:pPr>
        <w:pStyle w:val="Title"/>
      </w:pPr>
      <w:r>
        <w:t xml:space="preserve">Education &amp; Fieldwork Requirements for </w:t>
      </w:r>
      <w:r w:rsidR="002A34E5">
        <w:t>Canadian</w:t>
      </w:r>
      <w:r>
        <w:t xml:space="preserve"> Educated Applicants</w:t>
      </w:r>
    </w:p>
    <w:p w14:paraId="0F70092F" w14:textId="77777777" w:rsidR="006D65EC" w:rsidRPr="005B5D9E" w:rsidRDefault="000A159E"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6912BF94" w14:textId="16565F88" w:rsidR="00935F5A" w:rsidRPr="005B5D9E" w:rsidRDefault="007C1961" w:rsidP="00935F5A">
      <w:pPr>
        <w:pStyle w:val="BodyText"/>
      </w:pPr>
      <w:r w:rsidRPr="005B5D9E">
        <w:t>8-</w:t>
      </w:r>
      <w:r w:rsidR="002A34E5">
        <w:t>10</w:t>
      </w:r>
    </w:p>
    <w:p w14:paraId="7A205D48" w14:textId="03E65129" w:rsidR="005B5D9E" w:rsidRPr="005B5D9E" w:rsidRDefault="000A159E"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71B4F027" w:rsidR="005B5D9E" w:rsidRPr="005B5D9E" w:rsidRDefault="002A34E5" w:rsidP="009A2CED">
            <w:pPr>
              <w:pStyle w:val="BodyText"/>
              <w:ind w:left="0"/>
            </w:pPr>
            <w:r>
              <w:t>Canadian</w:t>
            </w:r>
            <w:r w:rsidR="00520EE7">
              <w:t xml:space="preserve"> educated </w:t>
            </w:r>
            <w:r w:rsidR="00C2113B">
              <w:t>applicants</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0188E40F" w:rsidR="00001D93" w:rsidRDefault="002A34E5" w:rsidP="00001D93">
            <w:pPr>
              <w:pStyle w:val="BodyText"/>
              <w:ind w:left="0"/>
            </w:pPr>
            <w:r>
              <w:t>July 1998</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4FD95842" w:rsidR="005B5D9E" w:rsidRPr="005B5D9E" w:rsidRDefault="002A34E5" w:rsidP="002A34E5">
            <w:pPr>
              <w:pStyle w:val="BodyText"/>
              <w:ind w:left="0"/>
            </w:pPr>
            <w:r>
              <w:t>July 2001, January 2002, March 2003, May 2003, November 2007, May 2009, October 2011, January 2013, November 2017, June 2018, February 2022</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7C1961" w:rsidP="001C157E">
      <w:pPr>
        <w:pStyle w:val="Heading1"/>
        <w:ind w:left="0"/>
        <w:rPr>
          <w:spacing w:val="0"/>
        </w:rPr>
      </w:pPr>
      <w:r w:rsidRPr="005B5D9E">
        <w:rPr>
          <w:spacing w:val="0"/>
        </w:rPr>
        <w:t>P</w:t>
      </w:r>
      <w:r w:rsidR="00001D93">
        <w:rPr>
          <w:spacing w:val="0"/>
        </w:rPr>
        <w:t>urpose</w:t>
      </w:r>
    </w:p>
    <w:p w14:paraId="76A2B86E" w14:textId="0190A47B" w:rsidR="008278A2" w:rsidRPr="007B62C8" w:rsidRDefault="007B62C8" w:rsidP="007B62C8">
      <w:pPr>
        <w:pStyle w:val="Heading1"/>
        <w:spacing w:before="120"/>
        <w:ind w:left="0"/>
        <w:rPr>
          <w:b w:val="0"/>
          <w:bCs w:val="0"/>
          <w:spacing w:val="0"/>
          <w:sz w:val="22"/>
          <w:szCs w:val="22"/>
        </w:rPr>
      </w:pPr>
      <w:bookmarkStart w:id="0" w:name="Principles"/>
      <w:bookmarkEnd w:id="0"/>
      <w:r w:rsidRPr="007B62C8">
        <w:rPr>
          <w:b w:val="0"/>
          <w:bCs w:val="0"/>
          <w:sz w:val="22"/>
          <w:szCs w:val="22"/>
        </w:rPr>
        <w:t>This policy explains how applicants who completed a Canadian occupational therapy degree can meet the education and fieldwork requirements.</w:t>
      </w:r>
      <w:r w:rsidR="00001D93" w:rsidRPr="007B62C8">
        <w:rPr>
          <w:b w:val="0"/>
          <w:bCs w:val="0"/>
          <w:sz w:val="22"/>
          <w:szCs w:val="22"/>
        </w:rPr>
        <w:br/>
      </w:r>
    </w:p>
    <w:p w14:paraId="3E71800B" w14:textId="763F5A93" w:rsidR="006D65EC" w:rsidRPr="005B5D9E" w:rsidRDefault="007C1961" w:rsidP="001C157E">
      <w:pPr>
        <w:pStyle w:val="Heading1"/>
        <w:ind w:left="0"/>
        <w:rPr>
          <w:spacing w:val="0"/>
        </w:rPr>
      </w:pPr>
      <w:r w:rsidRPr="005B5D9E">
        <w:rPr>
          <w:spacing w:val="0"/>
        </w:rPr>
        <w:t>P</w:t>
      </w:r>
      <w:r w:rsidR="001A5D1D">
        <w:rPr>
          <w:spacing w:val="0"/>
        </w:rPr>
        <w:t>rinciple</w:t>
      </w:r>
      <w:r w:rsidR="00F36571">
        <w:rPr>
          <w:spacing w:val="0"/>
        </w:rPr>
        <w:t>s</w:t>
      </w:r>
    </w:p>
    <w:p w14:paraId="4E20DC24" w14:textId="50DACC72" w:rsidR="006C384E" w:rsidRDefault="00AE31D2" w:rsidP="00B2005D">
      <w:pPr>
        <w:pStyle w:val="Default"/>
        <w:spacing w:before="120"/>
        <w:rPr>
          <w:sz w:val="22"/>
          <w:szCs w:val="22"/>
        </w:rPr>
      </w:pPr>
      <w:bookmarkStart w:id="1" w:name="Policy"/>
      <w:bookmarkStart w:id="2" w:name="Process_for_declaring_currency"/>
      <w:bookmarkEnd w:id="1"/>
      <w:bookmarkEnd w:id="2"/>
      <w:r>
        <w:rPr>
          <w:sz w:val="22"/>
          <w:szCs w:val="22"/>
        </w:rPr>
        <w:t>Applicants must possess the required competencies to be able to provide safe, effective, ethical care. To meet this requirement, they must successfully complete an approved occupational therapy degree.</w:t>
      </w:r>
    </w:p>
    <w:p w14:paraId="74E20D59" w14:textId="77777777" w:rsidR="00AE31D2" w:rsidRDefault="00AE31D2" w:rsidP="00AE31D2">
      <w:pPr>
        <w:pStyle w:val="Default"/>
        <w:rPr>
          <w:sz w:val="22"/>
          <w:szCs w:val="22"/>
        </w:rPr>
      </w:pPr>
    </w:p>
    <w:p w14:paraId="306D7656" w14:textId="172D64E6" w:rsidR="007C5150" w:rsidRPr="005B5D9E" w:rsidRDefault="007C5150" w:rsidP="007C5150">
      <w:pPr>
        <w:pStyle w:val="Heading1"/>
        <w:ind w:left="0"/>
        <w:rPr>
          <w:spacing w:val="0"/>
        </w:rPr>
      </w:pPr>
      <w:r w:rsidRPr="005B5D9E">
        <w:rPr>
          <w:spacing w:val="0"/>
        </w:rPr>
        <w:t>P</w:t>
      </w:r>
      <w:r>
        <w:rPr>
          <w:spacing w:val="0"/>
        </w:rPr>
        <w:t>olicy</w:t>
      </w:r>
    </w:p>
    <w:p w14:paraId="1966A675" w14:textId="6F93DCFC" w:rsidR="003C04B8" w:rsidRDefault="003C04B8" w:rsidP="003C04B8">
      <w:pPr>
        <w:pStyle w:val="Default"/>
        <w:spacing w:before="120"/>
        <w:rPr>
          <w:sz w:val="22"/>
          <w:szCs w:val="22"/>
        </w:rPr>
      </w:pPr>
      <w:r w:rsidRPr="003C04B8">
        <w:rPr>
          <w:sz w:val="22"/>
          <w:szCs w:val="22"/>
        </w:rPr>
        <w:t>An approved occupational therapy degree is a Bachelor of Science degree or Master of Science degree in occupational therapy obtained in Ontario or one that is considered equivalent by the Registration Committee.</w:t>
      </w:r>
    </w:p>
    <w:p w14:paraId="16919C1F" w14:textId="77777777" w:rsidR="003C04B8" w:rsidRPr="003C04B8" w:rsidRDefault="003C04B8" w:rsidP="003C04B8">
      <w:pPr>
        <w:pStyle w:val="Default"/>
        <w:rPr>
          <w:sz w:val="22"/>
          <w:szCs w:val="22"/>
        </w:rPr>
      </w:pPr>
    </w:p>
    <w:p w14:paraId="44A01302" w14:textId="3DABF671" w:rsidR="004F49B6" w:rsidRDefault="003C04B8" w:rsidP="003C04B8">
      <w:pPr>
        <w:pStyle w:val="Default"/>
        <w:rPr>
          <w:sz w:val="22"/>
          <w:szCs w:val="22"/>
        </w:rPr>
      </w:pPr>
      <w:r w:rsidRPr="003C04B8">
        <w:rPr>
          <w:sz w:val="22"/>
          <w:szCs w:val="22"/>
        </w:rPr>
        <w:t xml:space="preserve">The Registration Committee considers Canadian occupational therapy degrees obtained from university programs that are </w:t>
      </w:r>
      <w:hyperlink r:id="rId7" w:history="1">
        <w:r w:rsidRPr="0091699B">
          <w:rPr>
            <w:rStyle w:val="Hyperlink"/>
            <w:sz w:val="22"/>
            <w:szCs w:val="22"/>
          </w:rPr>
          <w:t>accredited by the Canadian Association of Occupational Therapists</w:t>
        </w:r>
      </w:hyperlink>
      <w:r w:rsidRPr="003C04B8">
        <w:rPr>
          <w:sz w:val="22"/>
          <w:szCs w:val="22"/>
        </w:rPr>
        <w:t xml:space="preserve"> equivalent to an Ontario degree. Applicants who can show they have obtained one of these degrees is deemed to have met the College’s education and fieldwork requirements.</w:t>
      </w:r>
    </w:p>
    <w:p w14:paraId="2D4D5627" w14:textId="0AEED0B1" w:rsidR="00B94593" w:rsidRDefault="00B94593" w:rsidP="004F49B6">
      <w:pPr>
        <w:widowControl/>
        <w:adjustRightInd w:val="0"/>
      </w:pPr>
    </w:p>
    <w:p w14:paraId="7E2BFBEB" w14:textId="77777777" w:rsidR="00B704A0" w:rsidRDefault="00B704A0" w:rsidP="00B94593">
      <w:pPr>
        <w:pStyle w:val="Default"/>
        <w:spacing w:before="120"/>
        <w:rPr>
          <w:b/>
          <w:bCs/>
          <w:sz w:val="28"/>
          <w:szCs w:val="28"/>
        </w:rPr>
      </w:pPr>
      <w:r>
        <w:rPr>
          <w:b/>
          <w:bCs/>
          <w:sz w:val="28"/>
          <w:szCs w:val="28"/>
        </w:rPr>
        <w:t xml:space="preserve">How applicants prove they have met the requirements </w:t>
      </w:r>
    </w:p>
    <w:p w14:paraId="2C264450" w14:textId="77777777" w:rsidR="00B704A0" w:rsidRPr="00440FB9" w:rsidRDefault="00B704A0" w:rsidP="00440FB9">
      <w:pPr>
        <w:pStyle w:val="Default"/>
        <w:spacing w:before="120"/>
        <w:rPr>
          <w:b/>
          <w:bCs/>
          <w:sz w:val="22"/>
          <w:szCs w:val="22"/>
        </w:rPr>
      </w:pPr>
      <w:r w:rsidRPr="00440FB9">
        <w:rPr>
          <w:b/>
          <w:bCs/>
          <w:sz w:val="22"/>
          <w:szCs w:val="22"/>
        </w:rPr>
        <w:t>If applying to the College after graduation:</w:t>
      </w:r>
    </w:p>
    <w:p w14:paraId="531776E5" w14:textId="4DFE7A43" w:rsidR="00B704A0" w:rsidRDefault="00B704A0" w:rsidP="00440FB9">
      <w:pPr>
        <w:pStyle w:val="Default"/>
        <w:spacing w:before="120"/>
        <w:rPr>
          <w:sz w:val="22"/>
          <w:szCs w:val="22"/>
        </w:rPr>
      </w:pPr>
      <w:r w:rsidRPr="00B704A0">
        <w:rPr>
          <w:sz w:val="22"/>
          <w:szCs w:val="22"/>
        </w:rPr>
        <w:t>Applicants must ask the approved university to send a copy of the official final transcript directly to the College.</w:t>
      </w:r>
    </w:p>
    <w:p w14:paraId="36A52C37" w14:textId="77777777" w:rsidR="00440FB9" w:rsidRPr="00B704A0" w:rsidRDefault="00440FB9" w:rsidP="00B704A0">
      <w:pPr>
        <w:pStyle w:val="Default"/>
        <w:rPr>
          <w:sz w:val="22"/>
          <w:szCs w:val="22"/>
        </w:rPr>
      </w:pPr>
    </w:p>
    <w:p w14:paraId="4639141F" w14:textId="799E0594" w:rsidR="00B704A0" w:rsidRDefault="00B704A0" w:rsidP="00B704A0">
      <w:pPr>
        <w:pStyle w:val="Default"/>
        <w:rPr>
          <w:sz w:val="22"/>
          <w:szCs w:val="22"/>
        </w:rPr>
      </w:pPr>
      <w:r w:rsidRPr="00B704A0">
        <w:rPr>
          <w:sz w:val="22"/>
          <w:szCs w:val="22"/>
        </w:rPr>
        <w:t xml:space="preserve">If an applicant applies to the College more than 18 months after they obtained their occupational therapy degree, they must show evidence that they have competed 600 hours of service within </w:t>
      </w:r>
      <w:r w:rsidRPr="00B704A0">
        <w:rPr>
          <w:sz w:val="22"/>
          <w:szCs w:val="22"/>
        </w:rPr>
        <w:lastRenderedPageBreak/>
        <w:t>the scope of the profession within the last three years. If they do not meet this requirement, they will be required to complete an approved refresher program.</w:t>
      </w:r>
    </w:p>
    <w:p w14:paraId="3E490989" w14:textId="77777777" w:rsidR="00440FB9" w:rsidRPr="00B704A0" w:rsidRDefault="00440FB9" w:rsidP="00B704A0">
      <w:pPr>
        <w:pStyle w:val="Default"/>
        <w:rPr>
          <w:sz w:val="22"/>
          <w:szCs w:val="22"/>
        </w:rPr>
      </w:pPr>
    </w:p>
    <w:p w14:paraId="16C5B671" w14:textId="77777777" w:rsidR="00B704A0" w:rsidRPr="00440FB9" w:rsidRDefault="00B704A0" w:rsidP="00B704A0">
      <w:pPr>
        <w:pStyle w:val="Default"/>
        <w:rPr>
          <w:b/>
          <w:bCs/>
          <w:sz w:val="22"/>
          <w:szCs w:val="22"/>
        </w:rPr>
      </w:pPr>
      <w:r w:rsidRPr="00440FB9">
        <w:rPr>
          <w:b/>
          <w:bCs/>
          <w:sz w:val="22"/>
          <w:szCs w:val="22"/>
        </w:rPr>
        <w:t>If applying to the College before graduation:</w:t>
      </w:r>
    </w:p>
    <w:p w14:paraId="39F4C3F9" w14:textId="12FF8F89" w:rsidR="00B704A0" w:rsidRDefault="00B704A0" w:rsidP="00440FB9">
      <w:pPr>
        <w:pStyle w:val="Default"/>
        <w:spacing w:before="120"/>
        <w:rPr>
          <w:sz w:val="22"/>
          <w:szCs w:val="22"/>
        </w:rPr>
      </w:pPr>
      <w:r w:rsidRPr="00B704A0">
        <w:rPr>
          <w:sz w:val="22"/>
          <w:szCs w:val="22"/>
        </w:rPr>
        <w:t>Applicants must ask the occupational therapy program to send a letter directly to the College. The letter must state that the applicant has successfully completed the program and will graduate.</w:t>
      </w:r>
    </w:p>
    <w:p w14:paraId="7132282C" w14:textId="77777777" w:rsidR="00440FB9" w:rsidRPr="00B704A0" w:rsidRDefault="00440FB9" w:rsidP="00B704A0">
      <w:pPr>
        <w:pStyle w:val="Default"/>
        <w:rPr>
          <w:sz w:val="22"/>
          <w:szCs w:val="22"/>
        </w:rPr>
      </w:pPr>
    </w:p>
    <w:p w14:paraId="7E0F06C3" w14:textId="2C3C2309" w:rsidR="00B704A0" w:rsidRDefault="00B704A0" w:rsidP="00B704A0">
      <w:pPr>
        <w:pStyle w:val="Default"/>
        <w:rPr>
          <w:sz w:val="22"/>
          <w:szCs w:val="22"/>
        </w:rPr>
      </w:pPr>
      <w:r w:rsidRPr="00B704A0">
        <w:rPr>
          <w:sz w:val="22"/>
          <w:szCs w:val="22"/>
        </w:rPr>
        <w:t>The applicant must also ask the university to send the final official transcript directly to the College within 30 days of the convocation date.</w:t>
      </w:r>
    </w:p>
    <w:p w14:paraId="1A18DE46" w14:textId="77777777" w:rsidR="00440FB9" w:rsidRPr="00B704A0" w:rsidRDefault="00440FB9" w:rsidP="00B704A0">
      <w:pPr>
        <w:pStyle w:val="Default"/>
        <w:rPr>
          <w:sz w:val="22"/>
          <w:szCs w:val="22"/>
        </w:rPr>
      </w:pPr>
    </w:p>
    <w:p w14:paraId="218368D8" w14:textId="77777777" w:rsidR="00B704A0" w:rsidRPr="00440FB9" w:rsidRDefault="00B704A0" w:rsidP="00B704A0">
      <w:pPr>
        <w:pStyle w:val="Default"/>
        <w:rPr>
          <w:b/>
          <w:bCs/>
          <w:sz w:val="22"/>
          <w:szCs w:val="22"/>
        </w:rPr>
      </w:pPr>
      <w:r w:rsidRPr="00440FB9">
        <w:rPr>
          <w:b/>
          <w:bCs/>
          <w:sz w:val="22"/>
          <w:szCs w:val="22"/>
        </w:rPr>
        <w:t>If the applicant obtained a Canadian degree that is not approved</w:t>
      </w:r>
    </w:p>
    <w:p w14:paraId="4959DFA4" w14:textId="4713DA47" w:rsidR="00B704A0" w:rsidRDefault="00B704A0" w:rsidP="00440FB9">
      <w:pPr>
        <w:pStyle w:val="Default"/>
        <w:spacing w:before="120"/>
        <w:rPr>
          <w:sz w:val="22"/>
          <w:szCs w:val="22"/>
        </w:rPr>
      </w:pPr>
      <w:r w:rsidRPr="00B704A0">
        <w:rPr>
          <w:sz w:val="22"/>
          <w:szCs w:val="22"/>
        </w:rPr>
        <w:t>The College’s Registration Committee reviews cases where an applicant successfully completed a Canadian degree that is not approved. It may require the applicant to complete the Substantial Equivalency Assessment System (SEAS).</w:t>
      </w:r>
    </w:p>
    <w:p w14:paraId="5FA9AE22" w14:textId="77777777" w:rsidR="00440FB9" w:rsidRPr="00B704A0" w:rsidRDefault="00440FB9" w:rsidP="00B704A0">
      <w:pPr>
        <w:pStyle w:val="Default"/>
        <w:rPr>
          <w:sz w:val="22"/>
          <w:szCs w:val="22"/>
        </w:rPr>
      </w:pPr>
    </w:p>
    <w:p w14:paraId="38EE0145" w14:textId="17E560C3" w:rsidR="00B94593" w:rsidRDefault="00B704A0" w:rsidP="00B704A0">
      <w:pPr>
        <w:pStyle w:val="Default"/>
        <w:rPr>
          <w:sz w:val="22"/>
          <w:szCs w:val="22"/>
        </w:rPr>
      </w:pPr>
      <w:r w:rsidRPr="00B704A0">
        <w:rPr>
          <w:sz w:val="22"/>
          <w:szCs w:val="22"/>
        </w:rPr>
        <w:t>SEAS is a way of determining whether the applicant’s education and fieldwork are substantially equivalent to what is required in Ontario. The SEAS process is administered by the Association of Canadian Occupational Therapy Regulatory Organizations.</w:t>
      </w:r>
    </w:p>
    <w:p w14:paraId="7EEB6DA2" w14:textId="77777777" w:rsidR="0061723B" w:rsidRPr="00F31C89" w:rsidRDefault="0061723B" w:rsidP="00F31C89">
      <w:pPr>
        <w:pStyle w:val="Default"/>
        <w:rPr>
          <w:b/>
          <w:bCs/>
          <w:sz w:val="22"/>
          <w:szCs w:val="22"/>
        </w:rPr>
      </w:pPr>
    </w:p>
    <w:p w14:paraId="1B06167B" w14:textId="08A8299F" w:rsidR="00C66FE1" w:rsidRDefault="00181110" w:rsidP="0061723B">
      <w:pPr>
        <w:pStyle w:val="Default"/>
        <w:spacing w:before="120"/>
        <w:rPr>
          <w:b/>
          <w:bCs/>
          <w:i/>
          <w:iCs/>
          <w:sz w:val="22"/>
          <w:szCs w:val="22"/>
        </w:rPr>
      </w:pPr>
      <w:r>
        <w:rPr>
          <w:b/>
          <w:bCs/>
          <w:sz w:val="28"/>
          <w:szCs w:val="28"/>
        </w:rPr>
        <w:t>Legal Requirement</w:t>
      </w:r>
    </w:p>
    <w:p w14:paraId="6FBBA81D" w14:textId="13046B48" w:rsidR="00EE4562" w:rsidRPr="00390590" w:rsidRDefault="000A159E" w:rsidP="002E0667">
      <w:pPr>
        <w:pStyle w:val="Default"/>
        <w:spacing w:beforeLines="120" w:before="288"/>
        <w:rPr>
          <w:color w:val="000000" w:themeColor="text1"/>
          <w:sz w:val="22"/>
          <w:szCs w:val="22"/>
        </w:rPr>
      </w:pPr>
      <w:hyperlink r:id="rId8" w:history="1">
        <w:r w:rsidR="00390590" w:rsidRPr="00390590">
          <w:rPr>
            <w:rStyle w:val="Hyperlink"/>
            <w:sz w:val="22"/>
            <w:szCs w:val="22"/>
          </w:rPr>
          <w:t>Ontario Regulation 226/96: General, under the Occupational Therapy Act, 1991, s. 36(1) and 37(1)</w:t>
        </w:r>
      </w:hyperlink>
    </w:p>
    <w:sectPr w:rsidR="00EE4562" w:rsidRPr="00390590" w:rsidSect="001C15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CFB9" w14:textId="77777777" w:rsidR="008B7F79" w:rsidRDefault="008B7F79">
      <w:r>
        <w:separator/>
      </w:r>
    </w:p>
  </w:endnote>
  <w:endnote w:type="continuationSeparator" w:id="0">
    <w:p w14:paraId="4A697631" w14:textId="77777777" w:rsidR="008B7F79" w:rsidRDefault="008B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DC3" w14:textId="77777777" w:rsidR="00C2113B" w:rsidRDefault="00C2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1858" w14:textId="77777777" w:rsidR="00C2113B" w:rsidRDefault="00C2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2E4A" w14:textId="77777777" w:rsidR="008B7F79" w:rsidRDefault="008B7F79">
      <w:r>
        <w:separator/>
      </w:r>
    </w:p>
  </w:footnote>
  <w:footnote w:type="continuationSeparator" w:id="0">
    <w:p w14:paraId="4EE52696" w14:textId="77777777" w:rsidR="008B7F79" w:rsidRDefault="008B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9AFD" w14:textId="77777777" w:rsidR="00C2113B" w:rsidRDefault="00C21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3" w:name="_Hlk481569233"/>
    <w:bookmarkStart w:id="4" w:name="_Hlk481569234"/>
    <w:bookmarkStart w:id="5" w:name="_Hlk481569235"/>
    <w:bookmarkStart w:id="6" w:name="_Hlk481569236"/>
    <w:bookmarkStart w:id="7" w:name="_Hlk481568154"/>
    <w:bookmarkStart w:id="8" w:name="_Hlk481568153"/>
    <w:bookmarkStart w:id="9" w:name="_Hlk481568152"/>
    <w:bookmarkStart w:id="10" w:name="_Hlk481568151"/>
    <w:bookmarkStart w:id="11" w:name="_Hlk481568076"/>
    <w:bookmarkStart w:id="12" w:name="_Hlk481568075"/>
    <w:bookmarkStart w:id="13" w:name="_Hlk72336529"/>
    <w:bookmarkStart w:id="14" w:name="_Hlk72336530"/>
    <w:bookmarkStart w:id="15" w:name="_Hlk72336531"/>
    <w:bookmarkStart w:id="16" w:name="_Hlk72336532"/>
    <w:bookmarkStart w:id="17" w:name="_Hlk72336533"/>
    <w:bookmarkStart w:id="18"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3"/>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6E4" w14:textId="77777777" w:rsidR="00C2113B" w:rsidRDefault="00C2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7B02"/>
    <w:multiLevelType w:val="hybridMultilevel"/>
    <w:tmpl w:val="90DA7DFA"/>
    <w:lvl w:ilvl="0" w:tplc="04090001">
      <w:start w:val="1"/>
      <w:numFmt w:val="bullet"/>
      <w:lvlText w:val=""/>
      <w:lvlJc w:val="left"/>
      <w:pPr>
        <w:ind w:left="720" w:hanging="360"/>
      </w:pPr>
      <w:rPr>
        <w:rFonts w:ascii="Symbol" w:hAnsi="Symbol" w:hint="default"/>
      </w:rPr>
    </w:lvl>
    <w:lvl w:ilvl="1" w:tplc="8202EFA2">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8193C"/>
    <w:multiLevelType w:val="hybridMultilevel"/>
    <w:tmpl w:val="B1BC1E9A"/>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B34FC"/>
    <w:multiLevelType w:val="hybridMultilevel"/>
    <w:tmpl w:val="8EAE3A8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D792E"/>
    <w:multiLevelType w:val="hybridMultilevel"/>
    <w:tmpl w:val="9E9C336C"/>
    <w:lvl w:ilvl="0" w:tplc="04090001">
      <w:start w:val="1"/>
      <w:numFmt w:val="bullet"/>
      <w:lvlText w:val=""/>
      <w:lvlJc w:val="left"/>
      <w:pPr>
        <w:ind w:left="720" w:hanging="360"/>
      </w:pPr>
      <w:rPr>
        <w:rFonts w:ascii="Symbol" w:hAnsi="Symbol" w:hint="default"/>
      </w:rPr>
    </w:lvl>
    <w:lvl w:ilvl="1" w:tplc="326CD822">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7528">
    <w:abstractNumId w:val="3"/>
  </w:num>
  <w:num w:numId="2" w16cid:durableId="395124825">
    <w:abstractNumId w:val="0"/>
  </w:num>
  <w:num w:numId="3" w16cid:durableId="532621236">
    <w:abstractNumId w:val="1"/>
  </w:num>
  <w:num w:numId="4" w16cid:durableId="2357519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001D93"/>
    <w:rsid w:val="000448D9"/>
    <w:rsid w:val="000A159E"/>
    <w:rsid w:val="00110329"/>
    <w:rsid w:val="00124F14"/>
    <w:rsid w:val="00127466"/>
    <w:rsid w:val="00147AEC"/>
    <w:rsid w:val="001614C2"/>
    <w:rsid w:val="00181002"/>
    <w:rsid w:val="00181110"/>
    <w:rsid w:val="001946C7"/>
    <w:rsid w:val="001A5D1D"/>
    <w:rsid w:val="001C157E"/>
    <w:rsid w:val="001E6243"/>
    <w:rsid w:val="002170BB"/>
    <w:rsid w:val="002301B4"/>
    <w:rsid w:val="002315D6"/>
    <w:rsid w:val="00240777"/>
    <w:rsid w:val="002415BB"/>
    <w:rsid w:val="00260861"/>
    <w:rsid w:val="002A34E5"/>
    <w:rsid w:val="002E0667"/>
    <w:rsid w:val="002E2C01"/>
    <w:rsid w:val="00302FE2"/>
    <w:rsid w:val="00331949"/>
    <w:rsid w:val="00390590"/>
    <w:rsid w:val="003A309C"/>
    <w:rsid w:val="003A6064"/>
    <w:rsid w:val="003B6150"/>
    <w:rsid w:val="003C04B8"/>
    <w:rsid w:val="00440FB9"/>
    <w:rsid w:val="00445515"/>
    <w:rsid w:val="0049730F"/>
    <w:rsid w:val="004C2EAF"/>
    <w:rsid w:val="004F49B6"/>
    <w:rsid w:val="00511BC8"/>
    <w:rsid w:val="005133E0"/>
    <w:rsid w:val="00520EE7"/>
    <w:rsid w:val="00534CA4"/>
    <w:rsid w:val="0058472A"/>
    <w:rsid w:val="00593730"/>
    <w:rsid w:val="005B5D9E"/>
    <w:rsid w:val="005C2AE8"/>
    <w:rsid w:val="005D4709"/>
    <w:rsid w:val="006019DF"/>
    <w:rsid w:val="0061723B"/>
    <w:rsid w:val="00636CED"/>
    <w:rsid w:val="0066081A"/>
    <w:rsid w:val="00663A00"/>
    <w:rsid w:val="006B47DD"/>
    <w:rsid w:val="006C384E"/>
    <w:rsid w:val="006D65EC"/>
    <w:rsid w:val="006E0EE2"/>
    <w:rsid w:val="00787B5C"/>
    <w:rsid w:val="007B62C8"/>
    <w:rsid w:val="007C1051"/>
    <w:rsid w:val="007C1961"/>
    <w:rsid w:val="007C5150"/>
    <w:rsid w:val="0081735F"/>
    <w:rsid w:val="008278A2"/>
    <w:rsid w:val="00836080"/>
    <w:rsid w:val="00884DE3"/>
    <w:rsid w:val="008B7F79"/>
    <w:rsid w:val="008D151C"/>
    <w:rsid w:val="008E774A"/>
    <w:rsid w:val="00907B5D"/>
    <w:rsid w:val="0091699B"/>
    <w:rsid w:val="00935F5A"/>
    <w:rsid w:val="00937150"/>
    <w:rsid w:val="009A2CED"/>
    <w:rsid w:val="009A7AD8"/>
    <w:rsid w:val="009F436E"/>
    <w:rsid w:val="009F6311"/>
    <w:rsid w:val="00A105F1"/>
    <w:rsid w:val="00A14CDD"/>
    <w:rsid w:val="00A30DF7"/>
    <w:rsid w:val="00A4263C"/>
    <w:rsid w:val="00A57EB6"/>
    <w:rsid w:val="00A74D6A"/>
    <w:rsid w:val="00A906B9"/>
    <w:rsid w:val="00A9627C"/>
    <w:rsid w:val="00AA2949"/>
    <w:rsid w:val="00AA3B28"/>
    <w:rsid w:val="00AD11B4"/>
    <w:rsid w:val="00AE31D2"/>
    <w:rsid w:val="00B1565F"/>
    <w:rsid w:val="00B2005D"/>
    <w:rsid w:val="00B3403E"/>
    <w:rsid w:val="00B34BDF"/>
    <w:rsid w:val="00B704A0"/>
    <w:rsid w:val="00B94593"/>
    <w:rsid w:val="00BA0F23"/>
    <w:rsid w:val="00BC0DDC"/>
    <w:rsid w:val="00BD3ED4"/>
    <w:rsid w:val="00C1312B"/>
    <w:rsid w:val="00C2113B"/>
    <w:rsid w:val="00C35E82"/>
    <w:rsid w:val="00C37054"/>
    <w:rsid w:val="00C41D5A"/>
    <w:rsid w:val="00C55132"/>
    <w:rsid w:val="00C66FE1"/>
    <w:rsid w:val="00C77469"/>
    <w:rsid w:val="00CA4A13"/>
    <w:rsid w:val="00CB60C0"/>
    <w:rsid w:val="00CC6FAF"/>
    <w:rsid w:val="00CD5703"/>
    <w:rsid w:val="00D22F27"/>
    <w:rsid w:val="00D40426"/>
    <w:rsid w:val="00D553DF"/>
    <w:rsid w:val="00D73B4C"/>
    <w:rsid w:val="00D97BC2"/>
    <w:rsid w:val="00E0489C"/>
    <w:rsid w:val="00E14AAD"/>
    <w:rsid w:val="00E238F2"/>
    <w:rsid w:val="00E346CB"/>
    <w:rsid w:val="00E36605"/>
    <w:rsid w:val="00E40253"/>
    <w:rsid w:val="00E716FD"/>
    <w:rsid w:val="00E9565B"/>
    <w:rsid w:val="00EB39BF"/>
    <w:rsid w:val="00EE4562"/>
    <w:rsid w:val="00EF0C9D"/>
    <w:rsid w:val="00EF4A82"/>
    <w:rsid w:val="00F01E91"/>
    <w:rsid w:val="00F10F48"/>
    <w:rsid w:val="00F31C89"/>
    <w:rsid w:val="00F36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9602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aot.ca/site/rfs/univprog_ot?nav=sideb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2592</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2023-02-09T17:52:00Z</cp:lastPrinted>
  <dcterms:created xsi:type="dcterms:W3CDTF">2023-02-10T20:30:00Z</dcterms:created>
  <dcterms:modified xsi:type="dcterms:W3CDTF">2023-02-10T20:30:00Z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