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308E769A" w:rsidR="006D65EC" w:rsidRPr="005B5D9E" w:rsidRDefault="00881A84">
      <w:pPr>
        <w:pStyle w:val="Title"/>
      </w:pPr>
      <w:r>
        <w:t>Practising Without a Certificate of Registration</w:t>
      </w:r>
    </w:p>
    <w:p w14:paraId="0F70092F" w14:textId="77777777" w:rsidR="006D65EC" w:rsidRPr="005B5D9E" w:rsidRDefault="00C93E15"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7B4489FA" w:rsidR="006D65EC" w:rsidRPr="005B5D9E" w:rsidRDefault="008437DB" w:rsidP="005B5D9E">
      <w:pPr>
        <w:pStyle w:val="BodyText"/>
      </w:pPr>
      <w:r w:rsidRPr="005B5D9E">
        <w:t>8-</w:t>
      </w:r>
      <w:r w:rsidR="00A9627C">
        <w:t>14</w:t>
      </w:r>
      <w:r w:rsidRPr="005B5D9E">
        <w:t>0</w:t>
      </w:r>
    </w:p>
    <w:p w14:paraId="7A205D48" w14:textId="03E65129" w:rsidR="005B5D9E" w:rsidRPr="005B5D9E" w:rsidRDefault="00C93E15"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5B5D9E">
        <w:tc>
          <w:tcPr>
            <w:tcW w:w="2234" w:type="dxa"/>
            <w:tcMar>
              <w:top w:w="57" w:type="dxa"/>
              <w:bottom w:w="57" w:type="dxa"/>
            </w:tcMar>
          </w:tcPr>
          <w:p w14:paraId="249ECC1E" w14:textId="5F81B15D" w:rsidR="005B5D9E" w:rsidRPr="005B5D9E" w:rsidRDefault="005B5D9E" w:rsidP="005B5D9E">
            <w:pPr>
              <w:pStyle w:val="BodyText"/>
              <w:ind w:left="0"/>
            </w:pPr>
            <w:r w:rsidRPr="005B5D9E">
              <w:rPr>
                <w:b/>
              </w:rPr>
              <w:t>Section:</w:t>
            </w:r>
          </w:p>
        </w:tc>
        <w:tc>
          <w:tcPr>
            <w:tcW w:w="8020" w:type="dxa"/>
            <w:tcMar>
              <w:top w:w="57" w:type="dxa"/>
              <w:bottom w:w="57" w:type="dxa"/>
            </w:tcMar>
          </w:tcPr>
          <w:p w14:paraId="7B096AEB" w14:textId="389EA4EA" w:rsidR="005B5D9E" w:rsidRPr="005B5D9E" w:rsidRDefault="005B5D9E" w:rsidP="005B5D9E">
            <w:pPr>
              <w:pStyle w:val="BodyText"/>
              <w:ind w:left="0"/>
            </w:pPr>
            <w:r w:rsidRPr="005B5D9E">
              <w:t>Registration</w:t>
            </w:r>
          </w:p>
        </w:tc>
      </w:tr>
      <w:tr w:rsidR="005B5D9E" w:rsidRPr="005B5D9E" w14:paraId="191CDC8E" w14:textId="77777777" w:rsidTr="005B5D9E">
        <w:tc>
          <w:tcPr>
            <w:tcW w:w="2234" w:type="dxa"/>
            <w:tcMar>
              <w:top w:w="57" w:type="dxa"/>
              <w:bottom w:w="57" w:type="dxa"/>
            </w:tcMar>
          </w:tcPr>
          <w:p w14:paraId="476B8EAB" w14:textId="400C459E" w:rsidR="005B5D9E" w:rsidRPr="005B5D9E" w:rsidRDefault="005B5D9E" w:rsidP="005B5D9E">
            <w:pPr>
              <w:pStyle w:val="BodyText"/>
              <w:ind w:left="0"/>
            </w:pPr>
            <w:r w:rsidRPr="005B5D9E">
              <w:rPr>
                <w:b/>
              </w:rPr>
              <w:t>Applies to:</w:t>
            </w:r>
          </w:p>
        </w:tc>
        <w:tc>
          <w:tcPr>
            <w:tcW w:w="8020" w:type="dxa"/>
            <w:tcMar>
              <w:top w:w="57" w:type="dxa"/>
              <w:bottom w:w="57" w:type="dxa"/>
            </w:tcMar>
          </w:tcPr>
          <w:p w14:paraId="044D009B" w14:textId="32932A95" w:rsidR="005B5D9E" w:rsidRPr="005B5D9E" w:rsidRDefault="00A9627C" w:rsidP="00A9627C">
            <w:pPr>
              <w:pStyle w:val="BodyText"/>
              <w:ind w:left="0"/>
            </w:pPr>
            <w:r>
              <w:t>All applicants for all classes of registration and suspended registrants</w:t>
            </w:r>
          </w:p>
        </w:tc>
      </w:tr>
      <w:tr w:rsidR="005B5D9E" w:rsidRPr="005B5D9E" w14:paraId="5F9DD9E4" w14:textId="77777777" w:rsidTr="005B5D9E">
        <w:tc>
          <w:tcPr>
            <w:tcW w:w="2234" w:type="dxa"/>
            <w:tcMar>
              <w:top w:w="57" w:type="dxa"/>
              <w:bottom w:w="57" w:type="dxa"/>
            </w:tcMar>
          </w:tcPr>
          <w:p w14:paraId="0345E771" w14:textId="0E6B8CF2" w:rsidR="005B5D9E" w:rsidRPr="005B5D9E" w:rsidRDefault="005B5D9E" w:rsidP="005B5D9E">
            <w:pPr>
              <w:pStyle w:val="BodyText"/>
              <w:ind w:left="0"/>
            </w:pPr>
            <w:r w:rsidRPr="005B5D9E">
              <w:rPr>
                <w:b/>
              </w:rPr>
              <w:t>Approved by</w:t>
            </w:r>
            <w:r w:rsidRPr="005B5D9E">
              <w:t>:</w:t>
            </w:r>
          </w:p>
        </w:tc>
        <w:tc>
          <w:tcPr>
            <w:tcW w:w="8020" w:type="dxa"/>
            <w:tcMar>
              <w:top w:w="57" w:type="dxa"/>
              <w:bottom w:w="57" w:type="dxa"/>
            </w:tcMar>
          </w:tcPr>
          <w:p w14:paraId="2BCC81D7" w14:textId="1E2C9B9E" w:rsidR="005B5D9E" w:rsidRPr="005B5D9E" w:rsidRDefault="005B5D9E" w:rsidP="005B5D9E">
            <w:pPr>
              <w:pStyle w:val="BodyText"/>
              <w:ind w:left="0"/>
            </w:pPr>
            <w:r w:rsidRPr="005B5D9E">
              <w:t>Registration Committee</w:t>
            </w:r>
          </w:p>
        </w:tc>
      </w:tr>
      <w:tr w:rsidR="005B5D9E" w:rsidRPr="005B5D9E" w14:paraId="0012E9CA" w14:textId="77777777" w:rsidTr="005B5D9E">
        <w:tc>
          <w:tcPr>
            <w:tcW w:w="2234" w:type="dxa"/>
            <w:tcMar>
              <w:top w:w="57" w:type="dxa"/>
              <w:bottom w:w="57" w:type="dxa"/>
            </w:tcMar>
          </w:tcPr>
          <w:p w14:paraId="45BCE6EE" w14:textId="67A86D22" w:rsidR="005B5D9E" w:rsidRPr="005B5D9E" w:rsidRDefault="005B5D9E" w:rsidP="005B5D9E">
            <w:pPr>
              <w:pStyle w:val="BodyText"/>
              <w:ind w:left="0"/>
            </w:pPr>
            <w:r w:rsidRPr="005B5D9E">
              <w:rPr>
                <w:b/>
              </w:rPr>
              <w:t>Date Established:</w:t>
            </w:r>
          </w:p>
        </w:tc>
        <w:tc>
          <w:tcPr>
            <w:tcW w:w="8020" w:type="dxa"/>
            <w:tcMar>
              <w:top w:w="57" w:type="dxa"/>
              <w:bottom w:w="57" w:type="dxa"/>
            </w:tcMar>
          </w:tcPr>
          <w:p w14:paraId="7AF40FE6" w14:textId="3F59A63F" w:rsidR="005B5D9E" w:rsidRPr="005B5D9E" w:rsidRDefault="00D97BC2" w:rsidP="005B5D9E">
            <w:pPr>
              <w:pStyle w:val="BodyText"/>
              <w:ind w:left="0"/>
            </w:pPr>
            <w:r>
              <w:t>May 2009</w:t>
            </w:r>
          </w:p>
        </w:tc>
      </w:tr>
      <w:tr w:rsidR="005B5D9E" w:rsidRPr="005B5D9E" w14:paraId="65863052" w14:textId="77777777" w:rsidTr="005B5D9E">
        <w:tc>
          <w:tcPr>
            <w:tcW w:w="2234" w:type="dxa"/>
            <w:tcMar>
              <w:top w:w="57" w:type="dxa"/>
              <w:bottom w:w="57" w:type="dxa"/>
            </w:tcMar>
          </w:tcPr>
          <w:p w14:paraId="709F87FA" w14:textId="30EA7D12" w:rsidR="005B5D9E" w:rsidRPr="005B5D9E" w:rsidRDefault="005B5D9E" w:rsidP="005B5D9E">
            <w:pPr>
              <w:pStyle w:val="BodyText"/>
              <w:ind w:left="0"/>
            </w:pPr>
            <w:r w:rsidRPr="005B5D9E">
              <w:rPr>
                <w:b/>
              </w:rPr>
              <w:t>Date Revised:</w:t>
            </w:r>
          </w:p>
        </w:tc>
        <w:tc>
          <w:tcPr>
            <w:tcW w:w="8020" w:type="dxa"/>
            <w:tcMar>
              <w:top w:w="57" w:type="dxa"/>
              <w:bottom w:w="57" w:type="dxa"/>
            </w:tcMar>
          </w:tcPr>
          <w:p w14:paraId="3330785C" w14:textId="17EB5371" w:rsidR="005B5D9E" w:rsidRPr="005B5D9E" w:rsidRDefault="00D97BC2" w:rsidP="00D97BC2">
            <w:pPr>
              <w:pStyle w:val="BodyText"/>
              <w:spacing w:after="40"/>
              <w:ind w:left="0"/>
            </w:pPr>
            <w:r>
              <w:t xml:space="preserve">October 2011, September 2016, September 2021 </w:t>
            </w:r>
            <w:r w:rsidR="00C77469">
              <w:t xml:space="preserve"> </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77777777" w:rsidR="006D65EC" w:rsidRPr="005B5D9E" w:rsidRDefault="008437DB" w:rsidP="001C157E">
      <w:pPr>
        <w:pStyle w:val="Heading1"/>
        <w:ind w:left="0"/>
        <w:rPr>
          <w:spacing w:val="0"/>
        </w:rPr>
      </w:pPr>
      <w:r w:rsidRPr="005B5D9E">
        <w:rPr>
          <w:spacing w:val="0"/>
        </w:rPr>
        <w:t>Purpose</w:t>
      </w:r>
    </w:p>
    <w:p w14:paraId="770E5F33" w14:textId="66A25FB5" w:rsidR="00331949" w:rsidRDefault="00331949" w:rsidP="00331949">
      <w:pPr>
        <w:pStyle w:val="Default"/>
        <w:spacing w:before="120"/>
        <w:rPr>
          <w:sz w:val="22"/>
          <w:szCs w:val="22"/>
        </w:rPr>
      </w:pPr>
      <w:bookmarkStart w:id="0" w:name="Principles"/>
      <w:bookmarkEnd w:id="0"/>
      <w:r>
        <w:rPr>
          <w:sz w:val="22"/>
          <w:szCs w:val="22"/>
        </w:rPr>
        <w:t xml:space="preserve">This policy describes the steps the College takes when an individual has been practising occupational therapy: </w:t>
      </w:r>
    </w:p>
    <w:p w14:paraId="7D672029" w14:textId="580BA9A6" w:rsidR="00331949" w:rsidRDefault="00331949" w:rsidP="00331949">
      <w:pPr>
        <w:pStyle w:val="Default"/>
        <w:numPr>
          <w:ilvl w:val="0"/>
          <w:numId w:val="12"/>
        </w:numPr>
        <w:spacing w:before="120"/>
        <w:ind w:left="714" w:hanging="357"/>
        <w:rPr>
          <w:sz w:val="22"/>
          <w:szCs w:val="22"/>
        </w:rPr>
      </w:pPr>
      <w:r>
        <w:rPr>
          <w:sz w:val="22"/>
          <w:szCs w:val="22"/>
        </w:rPr>
        <w:t xml:space="preserve">before the College has issued a certificate of registration, or </w:t>
      </w:r>
    </w:p>
    <w:p w14:paraId="7849AFD0" w14:textId="527821D7" w:rsidR="00331949" w:rsidRDefault="00331949" w:rsidP="00331949">
      <w:pPr>
        <w:pStyle w:val="Default"/>
        <w:numPr>
          <w:ilvl w:val="0"/>
          <w:numId w:val="12"/>
        </w:numPr>
        <w:rPr>
          <w:sz w:val="22"/>
          <w:szCs w:val="22"/>
        </w:rPr>
      </w:pPr>
      <w:r>
        <w:rPr>
          <w:sz w:val="22"/>
          <w:szCs w:val="22"/>
        </w:rPr>
        <w:t xml:space="preserve">when their certificate of registration was suspended. </w:t>
      </w:r>
    </w:p>
    <w:p w14:paraId="13C407F7" w14:textId="77777777" w:rsidR="00A74D6A" w:rsidRPr="00A74D6A" w:rsidRDefault="00A74D6A" w:rsidP="00A74D6A">
      <w:pPr>
        <w:pStyle w:val="Heading1"/>
        <w:ind w:left="0"/>
        <w:rPr>
          <w:spacing w:val="0"/>
          <w:sz w:val="22"/>
          <w:szCs w:val="22"/>
        </w:rPr>
      </w:pPr>
    </w:p>
    <w:p w14:paraId="3E71800B" w14:textId="02431851" w:rsidR="006D65EC" w:rsidRPr="005B5D9E" w:rsidRDefault="008437DB" w:rsidP="001C157E">
      <w:pPr>
        <w:pStyle w:val="Heading1"/>
        <w:ind w:left="0"/>
        <w:rPr>
          <w:spacing w:val="0"/>
        </w:rPr>
      </w:pPr>
      <w:r w:rsidRPr="005B5D9E">
        <w:rPr>
          <w:spacing w:val="0"/>
        </w:rPr>
        <w:t>Principles</w:t>
      </w:r>
    </w:p>
    <w:p w14:paraId="3ED9E3DF" w14:textId="0D534FEB" w:rsidR="00A74D6A" w:rsidRDefault="00181002" w:rsidP="00A74D6A">
      <w:pPr>
        <w:pStyle w:val="Heading1"/>
        <w:ind w:left="0"/>
        <w:rPr>
          <w:b w:val="0"/>
          <w:bCs w:val="0"/>
          <w:sz w:val="22"/>
          <w:szCs w:val="22"/>
        </w:rPr>
      </w:pPr>
      <w:bookmarkStart w:id="1" w:name="Policy"/>
      <w:bookmarkEnd w:id="1"/>
      <w:r w:rsidRPr="00181002">
        <w:rPr>
          <w:b w:val="0"/>
          <w:bCs w:val="0"/>
          <w:sz w:val="22"/>
          <w:szCs w:val="22"/>
        </w:rPr>
        <w:t>Only registrants of the College with a certificate of registration can use the title “occupational therapist” (or any variation, abbreviation or equivalent in another language) or holds themselves out as qualified to practice as an occupational therapist in Ontario.</w:t>
      </w:r>
    </w:p>
    <w:p w14:paraId="502DA7F6" w14:textId="77777777" w:rsidR="00181002" w:rsidRPr="00A74D6A" w:rsidRDefault="00181002" w:rsidP="00A74D6A">
      <w:pPr>
        <w:pStyle w:val="Heading1"/>
        <w:ind w:left="0"/>
        <w:rPr>
          <w:b w:val="0"/>
          <w:bCs w:val="0"/>
          <w:spacing w:val="0"/>
          <w:sz w:val="22"/>
          <w:szCs w:val="22"/>
        </w:rPr>
      </w:pPr>
    </w:p>
    <w:p w14:paraId="75F3FF52" w14:textId="5518A39C" w:rsidR="00F10F48" w:rsidRPr="00F10F48" w:rsidRDefault="008437DB" w:rsidP="00663A00">
      <w:pPr>
        <w:pStyle w:val="Heading1"/>
        <w:ind w:left="0"/>
        <w:rPr>
          <w:spacing w:val="0"/>
        </w:rPr>
      </w:pPr>
      <w:r w:rsidRPr="005B5D9E">
        <w:rPr>
          <w:spacing w:val="0"/>
        </w:rPr>
        <w:t>Policy</w:t>
      </w:r>
    </w:p>
    <w:p w14:paraId="1473272A" w14:textId="51A986E5" w:rsidR="00BC0DDC" w:rsidRDefault="00511BC8" w:rsidP="00511BC8">
      <w:pPr>
        <w:pStyle w:val="Default"/>
        <w:spacing w:before="120"/>
        <w:rPr>
          <w:sz w:val="22"/>
          <w:szCs w:val="22"/>
        </w:rPr>
      </w:pPr>
      <w:r w:rsidRPr="00511BC8">
        <w:rPr>
          <w:sz w:val="22"/>
          <w:szCs w:val="22"/>
        </w:rPr>
        <w:t>Practising and/or using the title occupational therapist without authorization are serious conduct issues. Individuals found to be practising or using title without a certificate of registration issued by the College, could result in a review of the individual’s suitability to practice.</w:t>
      </w:r>
    </w:p>
    <w:p w14:paraId="2E1DFEB4" w14:textId="77777777" w:rsidR="00636CED" w:rsidRPr="005B5D9E" w:rsidRDefault="00636CED" w:rsidP="00D40426">
      <w:pPr>
        <w:pStyle w:val="BodyText"/>
        <w:spacing w:before="120"/>
        <w:ind w:left="0"/>
      </w:pPr>
    </w:p>
    <w:p w14:paraId="1E27C916" w14:textId="4E6C401D" w:rsidR="00D40426" w:rsidRDefault="00511BC8" w:rsidP="00511BC8">
      <w:pPr>
        <w:pStyle w:val="BodyText"/>
        <w:ind w:left="0"/>
      </w:pPr>
      <w:bookmarkStart w:id="2" w:name="Process_for_declaring_currency"/>
      <w:bookmarkEnd w:id="2"/>
      <w:r>
        <w:rPr>
          <w:b/>
          <w:bCs/>
          <w:sz w:val="28"/>
          <w:szCs w:val="28"/>
        </w:rPr>
        <w:t>Process for the review</w:t>
      </w:r>
    </w:p>
    <w:p w14:paraId="09F3FE0E" w14:textId="464A90CE" w:rsidR="00511BC8" w:rsidRDefault="00511BC8" w:rsidP="00511BC8">
      <w:pPr>
        <w:pStyle w:val="Default"/>
        <w:spacing w:before="120"/>
        <w:rPr>
          <w:sz w:val="22"/>
          <w:szCs w:val="22"/>
        </w:rPr>
      </w:pPr>
      <w:r>
        <w:rPr>
          <w:sz w:val="22"/>
          <w:szCs w:val="22"/>
        </w:rPr>
        <w:t xml:space="preserve">The Registrar will review all cases where a person may have misused the title occupational therapist or held themselves out to be qualified to practice as an occupational therapist when they did not have a certificate of registration. </w:t>
      </w:r>
    </w:p>
    <w:p w14:paraId="35A20CCC" w14:textId="77777777" w:rsidR="00511BC8" w:rsidRDefault="00511BC8" w:rsidP="00B34BDF">
      <w:pPr>
        <w:pStyle w:val="Default"/>
        <w:rPr>
          <w:sz w:val="22"/>
          <w:szCs w:val="22"/>
        </w:rPr>
      </w:pPr>
    </w:p>
    <w:p w14:paraId="68D2CF95" w14:textId="46B48AAD" w:rsidR="00BA0F23" w:rsidRPr="00BA0F23" w:rsidRDefault="00511BC8" w:rsidP="00BA0F23">
      <w:pPr>
        <w:pStyle w:val="BodyText"/>
        <w:ind w:left="0"/>
      </w:pPr>
      <w:r>
        <w:t>The Registrar will consider factors such as:</w:t>
      </w:r>
    </w:p>
    <w:p w14:paraId="7A7282E8" w14:textId="5B8461D0" w:rsidR="00BA0F23" w:rsidRPr="00BA0F23" w:rsidRDefault="00BA0F23" w:rsidP="00BA0F23">
      <w:pPr>
        <w:pStyle w:val="ListParagraph"/>
        <w:widowControl/>
        <w:numPr>
          <w:ilvl w:val="0"/>
          <w:numId w:val="13"/>
        </w:numPr>
        <w:adjustRightInd w:val="0"/>
        <w:spacing w:before="120" w:after="55"/>
        <w:ind w:left="714" w:hanging="357"/>
        <w:rPr>
          <w:rFonts w:eastAsiaTheme="minorHAnsi"/>
          <w:color w:val="000000"/>
        </w:rPr>
      </w:pPr>
      <w:r w:rsidRPr="00BA0F23">
        <w:rPr>
          <w:rFonts w:eastAsiaTheme="minorHAnsi"/>
          <w:color w:val="000000"/>
        </w:rPr>
        <w:t xml:space="preserve">the strength of the evidence that the person engaged in the conduct </w:t>
      </w:r>
    </w:p>
    <w:p w14:paraId="1615012F" w14:textId="00A9591C" w:rsidR="00BA0F23" w:rsidRPr="00BA0F23" w:rsidRDefault="00BA0F23" w:rsidP="00BA0F23">
      <w:pPr>
        <w:pStyle w:val="ListParagraph"/>
        <w:widowControl/>
        <w:numPr>
          <w:ilvl w:val="0"/>
          <w:numId w:val="13"/>
        </w:numPr>
        <w:adjustRightInd w:val="0"/>
        <w:ind w:left="714" w:hanging="357"/>
        <w:rPr>
          <w:rFonts w:eastAsiaTheme="minorHAnsi"/>
          <w:color w:val="000000"/>
        </w:rPr>
      </w:pPr>
      <w:r w:rsidRPr="00BA0F23">
        <w:rPr>
          <w:rFonts w:eastAsiaTheme="minorHAnsi"/>
          <w:color w:val="000000"/>
        </w:rPr>
        <w:t xml:space="preserve">whether the person willfully engaged in the conduct </w:t>
      </w:r>
    </w:p>
    <w:p w14:paraId="3EDB2823" w14:textId="7BCC33E7" w:rsidR="00BA0F23" w:rsidRPr="00BA0F23" w:rsidRDefault="00BA0F23" w:rsidP="00BA0F23">
      <w:pPr>
        <w:pStyle w:val="ListParagraph"/>
        <w:widowControl/>
        <w:numPr>
          <w:ilvl w:val="0"/>
          <w:numId w:val="13"/>
        </w:numPr>
        <w:adjustRightInd w:val="0"/>
        <w:ind w:left="714" w:hanging="357"/>
        <w:rPr>
          <w:rFonts w:eastAsiaTheme="minorHAnsi"/>
          <w:color w:val="000000"/>
        </w:rPr>
      </w:pPr>
      <w:r w:rsidRPr="00BA0F23">
        <w:rPr>
          <w:rFonts w:eastAsiaTheme="minorHAnsi"/>
          <w:color w:val="000000"/>
        </w:rPr>
        <w:t xml:space="preserve">how long the person engaged in the conduct </w:t>
      </w:r>
    </w:p>
    <w:p w14:paraId="789FAC2A" w14:textId="16C3525D" w:rsidR="00BA0F23" w:rsidRDefault="00BA0F23" w:rsidP="00BA0F23">
      <w:pPr>
        <w:pStyle w:val="ListParagraph"/>
        <w:widowControl/>
        <w:numPr>
          <w:ilvl w:val="0"/>
          <w:numId w:val="13"/>
        </w:numPr>
        <w:adjustRightInd w:val="0"/>
        <w:ind w:left="714" w:hanging="357"/>
        <w:rPr>
          <w:rFonts w:eastAsiaTheme="minorHAnsi"/>
          <w:color w:val="000000"/>
        </w:rPr>
      </w:pPr>
      <w:r w:rsidRPr="00BA0F23">
        <w:rPr>
          <w:rFonts w:eastAsiaTheme="minorHAnsi"/>
          <w:color w:val="000000"/>
        </w:rPr>
        <w:t xml:space="preserve">the attitude or remorse expressed about the conduct </w:t>
      </w:r>
      <w:r w:rsidR="008E774A">
        <w:rPr>
          <w:rFonts w:eastAsiaTheme="minorHAnsi"/>
          <w:color w:val="000000"/>
        </w:rPr>
        <w:br/>
      </w:r>
    </w:p>
    <w:p w14:paraId="58C16EF5" w14:textId="77777777" w:rsidR="00BA0F23" w:rsidRPr="00BA0F23" w:rsidRDefault="00BA0F23" w:rsidP="00BA0F23">
      <w:pPr>
        <w:widowControl/>
        <w:adjustRightInd w:val="0"/>
        <w:rPr>
          <w:rFonts w:ascii="Symbol" w:eastAsiaTheme="minorHAnsi" w:hAnsi="Symbol" w:cs="Symbol"/>
          <w:color w:val="000000"/>
          <w:sz w:val="24"/>
          <w:szCs w:val="24"/>
        </w:rPr>
      </w:pPr>
    </w:p>
    <w:p w14:paraId="0FCAA2B8" w14:textId="6038E4A7" w:rsidR="00BA0F23" w:rsidRPr="00BA0F23" w:rsidRDefault="00BA0F23" w:rsidP="00BA0F23">
      <w:pPr>
        <w:pStyle w:val="ListParagraph"/>
        <w:widowControl/>
        <w:numPr>
          <w:ilvl w:val="0"/>
          <w:numId w:val="13"/>
        </w:numPr>
        <w:adjustRightInd w:val="0"/>
        <w:spacing w:after="57"/>
        <w:rPr>
          <w:rFonts w:eastAsiaTheme="minorHAnsi"/>
          <w:color w:val="000000"/>
        </w:rPr>
      </w:pPr>
      <w:r w:rsidRPr="00BA0F23">
        <w:rPr>
          <w:rFonts w:eastAsiaTheme="minorHAnsi"/>
          <w:color w:val="000000"/>
        </w:rPr>
        <w:lastRenderedPageBreak/>
        <w:t xml:space="preserve">any consequences they have already received, such as loss of a job or criminal charges </w:t>
      </w:r>
    </w:p>
    <w:p w14:paraId="6BD12E07" w14:textId="639F5BB5" w:rsidR="00BA0F23" w:rsidRPr="00BA0F23" w:rsidRDefault="00BA0F23" w:rsidP="00BA0F23">
      <w:pPr>
        <w:pStyle w:val="ListParagraph"/>
        <w:widowControl/>
        <w:numPr>
          <w:ilvl w:val="0"/>
          <w:numId w:val="13"/>
        </w:numPr>
        <w:adjustRightInd w:val="0"/>
        <w:spacing w:after="57"/>
        <w:rPr>
          <w:rFonts w:eastAsiaTheme="minorHAnsi"/>
          <w:color w:val="000000"/>
        </w:rPr>
      </w:pPr>
      <w:r w:rsidRPr="00BA0F23">
        <w:rPr>
          <w:rFonts w:eastAsiaTheme="minorHAnsi"/>
          <w:color w:val="000000"/>
        </w:rPr>
        <w:t xml:space="preserve">the risk to the public posed by the conduct </w:t>
      </w:r>
    </w:p>
    <w:p w14:paraId="7AF9338C" w14:textId="1D5CA3B9" w:rsidR="00BA0F23" w:rsidRDefault="00BA0F23" w:rsidP="00BA0F23">
      <w:pPr>
        <w:pStyle w:val="ListParagraph"/>
        <w:widowControl/>
        <w:numPr>
          <w:ilvl w:val="0"/>
          <w:numId w:val="13"/>
        </w:numPr>
        <w:adjustRightInd w:val="0"/>
        <w:rPr>
          <w:rFonts w:eastAsiaTheme="minorHAnsi"/>
          <w:color w:val="000000"/>
        </w:rPr>
      </w:pPr>
      <w:r w:rsidRPr="00BA0F23">
        <w:rPr>
          <w:rFonts w:eastAsiaTheme="minorHAnsi"/>
          <w:color w:val="000000"/>
        </w:rPr>
        <w:t xml:space="preserve">any actual harm caused by the conduct. </w:t>
      </w:r>
    </w:p>
    <w:p w14:paraId="0601B838" w14:textId="43735217" w:rsidR="00BA0F23" w:rsidRDefault="00BA0F23" w:rsidP="00BA0F23">
      <w:pPr>
        <w:widowControl/>
        <w:adjustRightInd w:val="0"/>
        <w:rPr>
          <w:rFonts w:eastAsiaTheme="minorHAnsi"/>
          <w:color w:val="000000"/>
        </w:rPr>
      </w:pPr>
    </w:p>
    <w:p w14:paraId="3014870F" w14:textId="254ACFAE" w:rsidR="00BA0F23" w:rsidRDefault="00BA0F23" w:rsidP="00BA0F23">
      <w:pPr>
        <w:widowControl/>
        <w:adjustRightInd w:val="0"/>
      </w:pPr>
      <w:r>
        <w:t>Depending on the seriousness of the conduct, the Registrar can take one of three courses of action:</w:t>
      </w:r>
    </w:p>
    <w:p w14:paraId="4F0191D2" w14:textId="2DE0D4A7" w:rsidR="00BA0F23" w:rsidRPr="00BA0F23" w:rsidRDefault="00BA0F23" w:rsidP="00BA0F23">
      <w:pPr>
        <w:pStyle w:val="Default"/>
        <w:numPr>
          <w:ilvl w:val="0"/>
          <w:numId w:val="14"/>
        </w:numPr>
        <w:spacing w:before="120"/>
        <w:ind w:left="714" w:hanging="357"/>
        <w:rPr>
          <w:sz w:val="22"/>
          <w:szCs w:val="22"/>
        </w:rPr>
      </w:pPr>
      <w:r>
        <w:rPr>
          <w:sz w:val="22"/>
          <w:szCs w:val="22"/>
        </w:rPr>
        <w:t xml:space="preserve">Refer the matter to the Registration Committee if the Registrar has doubts about whether the applicant will practise safely and ethically. The Committee will review the applicant’s suitability to practise. </w:t>
      </w:r>
    </w:p>
    <w:p w14:paraId="0A4401E7" w14:textId="5FB44059" w:rsidR="00BA0F23" w:rsidRDefault="00BA0F23" w:rsidP="00BA0F23">
      <w:pPr>
        <w:pStyle w:val="Default"/>
        <w:numPr>
          <w:ilvl w:val="0"/>
          <w:numId w:val="14"/>
        </w:numPr>
        <w:spacing w:before="120"/>
        <w:ind w:left="714" w:hanging="357"/>
        <w:rPr>
          <w:sz w:val="22"/>
          <w:szCs w:val="22"/>
        </w:rPr>
      </w:pPr>
      <w:r>
        <w:rPr>
          <w:sz w:val="22"/>
          <w:szCs w:val="22"/>
        </w:rPr>
        <w:t xml:space="preserve">Require the applicant to sign an undertaking before being issued a certificate of registration. The undertaking could include: </w:t>
      </w:r>
    </w:p>
    <w:p w14:paraId="6E09C1DF" w14:textId="314F26BF" w:rsidR="00BA0F23" w:rsidRDefault="00BA0F23" w:rsidP="00BA0F23">
      <w:pPr>
        <w:pStyle w:val="Default"/>
        <w:numPr>
          <w:ilvl w:val="0"/>
          <w:numId w:val="13"/>
        </w:numPr>
        <w:spacing w:before="120" w:after="59"/>
        <w:ind w:left="1094" w:hanging="357"/>
        <w:rPr>
          <w:sz w:val="22"/>
          <w:szCs w:val="22"/>
        </w:rPr>
      </w:pPr>
      <w:r>
        <w:rPr>
          <w:sz w:val="22"/>
          <w:szCs w:val="22"/>
        </w:rPr>
        <w:t xml:space="preserve">Writing a letter acknowledging the conduct </w:t>
      </w:r>
    </w:p>
    <w:p w14:paraId="075F88BE" w14:textId="448E2F2C" w:rsidR="00BA0F23" w:rsidRDefault="00BA0F23" w:rsidP="00BA0F23">
      <w:pPr>
        <w:pStyle w:val="Default"/>
        <w:numPr>
          <w:ilvl w:val="0"/>
          <w:numId w:val="13"/>
        </w:numPr>
        <w:spacing w:after="59"/>
        <w:ind w:left="1094" w:hanging="357"/>
        <w:rPr>
          <w:sz w:val="22"/>
          <w:szCs w:val="22"/>
        </w:rPr>
      </w:pPr>
      <w:r>
        <w:rPr>
          <w:sz w:val="22"/>
          <w:szCs w:val="22"/>
        </w:rPr>
        <w:t xml:space="preserve">Completing a Prescribed Regulatory Education Program module </w:t>
      </w:r>
    </w:p>
    <w:p w14:paraId="5F62C008" w14:textId="6200F7DD" w:rsidR="00BA0F23" w:rsidRPr="00BA0F23" w:rsidRDefault="00BA0F23" w:rsidP="00BA0F23">
      <w:pPr>
        <w:pStyle w:val="Default"/>
        <w:numPr>
          <w:ilvl w:val="0"/>
          <w:numId w:val="13"/>
        </w:numPr>
        <w:ind w:left="1094" w:hanging="357"/>
        <w:rPr>
          <w:sz w:val="22"/>
          <w:szCs w:val="22"/>
        </w:rPr>
      </w:pPr>
      <w:r>
        <w:rPr>
          <w:sz w:val="22"/>
          <w:szCs w:val="22"/>
        </w:rPr>
        <w:t xml:space="preserve">Paying fees that would have been payable had they been registered with the College during the period they were practising without authority. </w:t>
      </w:r>
    </w:p>
    <w:p w14:paraId="0F24CE50" w14:textId="25A78DB4" w:rsidR="00BA0F23" w:rsidRPr="002E2C01" w:rsidRDefault="00BA0F23" w:rsidP="002E2C01">
      <w:pPr>
        <w:pStyle w:val="Default"/>
        <w:numPr>
          <w:ilvl w:val="0"/>
          <w:numId w:val="14"/>
        </w:numPr>
        <w:spacing w:before="120"/>
        <w:ind w:left="714" w:hanging="357"/>
        <w:rPr>
          <w:sz w:val="22"/>
          <w:szCs w:val="22"/>
        </w:rPr>
      </w:pPr>
      <w:r>
        <w:rPr>
          <w:sz w:val="22"/>
          <w:szCs w:val="22"/>
        </w:rPr>
        <w:t xml:space="preserve">Refer the matter to the Inquiries, Complaints, and Reports Committee if a person engaged in the conduct while their registration was suspended. </w:t>
      </w:r>
    </w:p>
    <w:p w14:paraId="73FCD80F" w14:textId="77777777" w:rsidR="00445515" w:rsidRDefault="00445515" w:rsidP="00D73B4C">
      <w:pPr>
        <w:pStyle w:val="Default"/>
        <w:spacing w:before="120"/>
        <w:rPr>
          <w:sz w:val="22"/>
          <w:szCs w:val="22"/>
        </w:rPr>
      </w:pPr>
      <w:bookmarkStart w:id="3" w:name="How_the_College_calculates_practice_hour"/>
      <w:bookmarkStart w:id="4" w:name="What_counts_as_practice_hours"/>
      <w:bookmarkEnd w:id="3"/>
      <w:bookmarkEnd w:id="4"/>
    </w:p>
    <w:p w14:paraId="742C43F9" w14:textId="17D238F6" w:rsidR="0081735F" w:rsidRDefault="00A105F1" w:rsidP="00A105F1">
      <w:pPr>
        <w:pStyle w:val="Heading1"/>
        <w:ind w:left="0"/>
        <w:rPr>
          <w:b w:val="0"/>
          <w:bCs w:val="0"/>
          <w:color w:val="000000" w:themeColor="text1"/>
          <w:spacing w:val="0"/>
          <w:sz w:val="22"/>
          <w:szCs w:val="22"/>
        </w:rPr>
      </w:pPr>
      <w:bookmarkStart w:id="5" w:name="Exception_for_Substantial_Equivalency_As"/>
      <w:bookmarkStart w:id="6" w:name="Completing_a_refresher_program"/>
      <w:bookmarkEnd w:id="5"/>
      <w:bookmarkEnd w:id="6"/>
      <w:r>
        <w:rPr>
          <w:spacing w:val="0"/>
        </w:rPr>
        <w:t>Legal requirement</w:t>
      </w:r>
    </w:p>
    <w:p w14:paraId="03103D1D" w14:textId="77025206" w:rsidR="005D4709" w:rsidRPr="005D4709" w:rsidRDefault="00C93E15" w:rsidP="005D4709">
      <w:pPr>
        <w:pStyle w:val="Default"/>
        <w:spacing w:beforeLines="120" w:before="288"/>
        <w:rPr>
          <w:color w:val="000000" w:themeColor="text1"/>
          <w:sz w:val="22"/>
          <w:szCs w:val="22"/>
        </w:rPr>
      </w:pPr>
      <w:hyperlink r:id="rId7" w:history="1">
        <w:r w:rsidR="005D4709" w:rsidRPr="005D4709">
          <w:rPr>
            <w:rStyle w:val="Hyperlink"/>
            <w:sz w:val="22"/>
            <w:szCs w:val="22"/>
          </w:rPr>
          <w:t>Occupational Therapy Act, 1991, s. 7</w:t>
        </w:r>
      </w:hyperlink>
      <w:r w:rsidR="005D4709" w:rsidRPr="005D4709">
        <w:rPr>
          <w:color w:val="000000" w:themeColor="text1"/>
          <w:sz w:val="22"/>
          <w:szCs w:val="22"/>
        </w:rPr>
        <w:t xml:space="preserve"> </w:t>
      </w:r>
    </w:p>
    <w:p w14:paraId="210533BD" w14:textId="005E9DB0" w:rsidR="005D4709" w:rsidRPr="005D4709" w:rsidRDefault="00C93E15" w:rsidP="005D4709">
      <w:pPr>
        <w:pStyle w:val="Default"/>
        <w:spacing w:beforeLines="120" w:before="288"/>
        <w:rPr>
          <w:color w:val="000000" w:themeColor="text1"/>
          <w:sz w:val="22"/>
          <w:szCs w:val="22"/>
        </w:rPr>
      </w:pPr>
      <w:hyperlink r:id="rId8" w:history="1">
        <w:r w:rsidR="005D4709" w:rsidRPr="005D4709">
          <w:rPr>
            <w:rStyle w:val="Hyperlink"/>
            <w:sz w:val="22"/>
            <w:szCs w:val="22"/>
          </w:rPr>
          <w:t>Ontario Regulation 226/96: General, under the Occupational Therapy Act, 1991, s. 35(1)4</w:t>
        </w:r>
      </w:hyperlink>
      <w:r w:rsidR="005D4709" w:rsidRPr="005D4709">
        <w:rPr>
          <w:color w:val="000000" w:themeColor="text1"/>
          <w:sz w:val="22"/>
          <w:szCs w:val="22"/>
        </w:rPr>
        <w:t xml:space="preserve"> </w:t>
      </w:r>
    </w:p>
    <w:p w14:paraId="76DFFD12" w14:textId="72326994" w:rsidR="00A105F1" w:rsidRDefault="00C93E15" w:rsidP="005D4709">
      <w:pPr>
        <w:pStyle w:val="Heading1"/>
        <w:spacing w:beforeLines="120" w:before="288"/>
        <w:ind w:left="0"/>
        <w:rPr>
          <w:b w:val="0"/>
          <w:bCs w:val="0"/>
          <w:color w:val="000000" w:themeColor="text1"/>
          <w:sz w:val="22"/>
          <w:szCs w:val="22"/>
        </w:rPr>
      </w:pPr>
      <w:hyperlink r:id="rId9" w:history="1">
        <w:r w:rsidR="005D4709" w:rsidRPr="005D4709">
          <w:rPr>
            <w:rStyle w:val="Hyperlink"/>
            <w:b w:val="0"/>
            <w:bCs w:val="0"/>
            <w:sz w:val="22"/>
            <w:szCs w:val="22"/>
          </w:rPr>
          <w:t>Ontario Regulation 95/07: Professional Misconduct, under the Occupational Therapy Act, 1991</w:t>
        </w:r>
      </w:hyperlink>
    </w:p>
    <w:p w14:paraId="13093D51" w14:textId="77777777" w:rsidR="005D4709" w:rsidRDefault="005D4709" w:rsidP="005D4709">
      <w:pPr>
        <w:pStyle w:val="Heading1"/>
        <w:spacing w:beforeLines="120" w:before="288"/>
        <w:ind w:left="0"/>
        <w:rPr>
          <w:b w:val="0"/>
          <w:bCs w:val="0"/>
          <w:color w:val="000000" w:themeColor="text1"/>
          <w:sz w:val="22"/>
          <w:szCs w:val="22"/>
        </w:rPr>
      </w:pPr>
    </w:p>
    <w:p w14:paraId="2B488900" w14:textId="64820B4A" w:rsidR="005D4709" w:rsidRPr="005D4709" w:rsidRDefault="005D4709" w:rsidP="005D4709">
      <w:pPr>
        <w:pStyle w:val="Heading1"/>
        <w:spacing w:beforeLines="120" w:before="288"/>
        <w:ind w:left="0"/>
      </w:pPr>
      <w:r w:rsidRPr="005D4709">
        <w:t>Related policies</w:t>
      </w:r>
    </w:p>
    <w:p w14:paraId="6BF7FEEE" w14:textId="5BBE5B89" w:rsidR="005D4709" w:rsidRPr="005D4709" w:rsidRDefault="00C93E15" w:rsidP="005D4709">
      <w:pPr>
        <w:pStyle w:val="Heading1"/>
        <w:spacing w:beforeLines="120" w:before="288"/>
        <w:ind w:left="0"/>
        <w:rPr>
          <w:b w:val="0"/>
          <w:bCs w:val="0"/>
          <w:color w:val="000000" w:themeColor="text1"/>
          <w:spacing w:val="-6"/>
          <w:sz w:val="22"/>
          <w:szCs w:val="22"/>
        </w:rPr>
      </w:pPr>
      <w:hyperlink r:id="rId10" w:history="1">
        <w:r w:rsidR="005D4709" w:rsidRPr="005D4709">
          <w:rPr>
            <w:rStyle w:val="Hyperlink"/>
            <w:b w:val="0"/>
            <w:bCs w:val="0"/>
            <w:sz w:val="22"/>
            <w:szCs w:val="22"/>
          </w:rPr>
          <w:t>Determining Suitability to Practise at Registration (8-72)</w:t>
        </w:r>
      </w:hyperlink>
    </w:p>
    <w:sectPr w:rsidR="005D4709" w:rsidRPr="005D4709" w:rsidSect="001C157E">
      <w:headerReference w:type="default" r:id="rId11"/>
      <w:footerReference w:type="default" r:id="rId12"/>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7D16" w14:textId="77777777" w:rsidR="00E92334" w:rsidRDefault="00E92334">
      <w:r>
        <w:separator/>
      </w:r>
    </w:p>
  </w:endnote>
  <w:endnote w:type="continuationSeparator" w:id="0">
    <w:p w14:paraId="4615D9F7" w14:textId="77777777" w:rsidR="00E92334" w:rsidRDefault="00E9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C157E">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C3E1" w14:textId="77777777" w:rsidR="00E92334" w:rsidRDefault="00E92334">
      <w:r>
        <w:separator/>
      </w:r>
    </w:p>
  </w:footnote>
  <w:footnote w:type="continuationSeparator" w:id="0">
    <w:p w14:paraId="64073640" w14:textId="77777777" w:rsidR="00E92334" w:rsidRDefault="00E92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7" w:name="_Hlk481569233"/>
    <w:bookmarkStart w:id="8" w:name="_Hlk481569234"/>
    <w:bookmarkStart w:id="9" w:name="_Hlk481569235"/>
    <w:bookmarkStart w:id="10" w:name="_Hlk481569236"/>
    <w:bookmarkStart w:id="11" w:name="_Hlk481568154"/>
    <w:bookmarkStart w:id="12" w:name="_Hlk481568153"/>
    <w:bookmarkStart w:id="13" w:name="_Hlk481568152"/>
    <w:bookmarkStart w:id="14" w:name="_Hlk481568151"/>
    <w:bookmarkStart w:id="15" w:name="_Hlk481568076"/>
    <w:bookmarkStart w:id="16" w:name="_Hlk481568075"/>
    <w:bookmarkStart w:id="17" w:name="_Hlk72336529"/>
    <w:bookmarkStart w:id="18" w:name="_Hlk72336530"/>
    <w:bookmarkStart w:id="19" w:name="_Hlk72336531"/>
    <w:bookmarkStart w:id="20" w:name="_Hlk72336532"/>
    <w:bookmarkStart w:id="21" w:name="_Hlk72336533"/>
    <w:bookmarkStart w:id="22" w:name="_Hlk72336534"/>
  </w:p>
  <w:p w14:paraId="74B04348" w14:textId="58C47A00" w:rsidR="001C157E" w:rsidRPr="001C157E" w:rsidRDefault="001C157E" w:rsidP="001C157E">
    <w:pPr>
      <w:pStyle w:val="Header"/>
      <w:ind w:left="170"/>
    </w:pPr>
    <w:r>
      <w:rPr>
        <w:noProof/>
      </w:rPr>
      <w:drawing>
        <wp:inline distT="0" distB="0" distL="0" distR="0" wp14:anchorId="34CDB83E" wp14:editId="7AB8E7FB">
          <wp:extent cx="3557082" cy="37546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557082" cy="375469"/>
                  </a:xfrm>
                  <a:prstGeom prst="rect">
                    <a:avLst/>
                  </a:prstGeom>
                </pic:spPr>
              </pic:pic>
            </a:graphicData>
          </a:graphic>
        </wp:inline>
      </w:drawing>
    </w:r>
    <w:r>
      <w:br/>
    </w:r>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E319C"/>
    <w:multiLevelType w:val="hybridMultilevel"/>
    <w:tmpl w:val="EEB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4"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112F8"/>
    <w:multiLevelType w:val="hybridMultilevel"/>
    <w:tmpl w:val="E6E8F95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A04B1"/>
    <w:multiLevelType w:val="hybridMultilevel"/>
    <w:tmpl w:val="6C0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B1248"/>
    <w:multiLevelType w:val="hybridMultilevel"/>
    <w:tmpl w:val="2452D282"/>
    <w:lvl w:ilvl="0" w:tplc="EE4202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D0FE7"/>
    <w:multiLevelType w:val="hybridMultilevel"/>
    <w:tmpl w:val="798EC5E8"/>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3"/>
  </w:num>
  <w:num w:numId="2" w16cid:durableId="299070467">
    <w:abstractNumId w:val="7"/>
  </w:num>
  <w:num w:numId="3" w16cid:durableId="685600724">
    <w:abstractNumId w:val="8"/>
  </w:num>
  <w:num w:numId="4" w16cid:durableId="1377386019">
    <w:abstractNumId w:val="11"/>
  </w:num>
  <w:num w:numId="5" w16cid:durableId="1325091444">
    <w:abstractNumId w:val="14"/>
  </w:num>
  <w:num w:numId="6" w16cid:durableId="303436983">
    <w:abstractNumId w:val="0"/>
  </w:num>
  <w:num w:numId="7" w16cid:durableId="357705821">
    <w:abstractNumId w:val="1"/>
  </w:num>
  <w:num w:numId="8" w16cid:durableId="1358627434">
    <w:abstractNumId w:val="4"/>
  </w:num>
  <w:num w:numId="9" w16cid:durableId="1962766879">
    <w:abstractNumId w:val="10"/>
  </w:num>
  <w:num w:numId="10" w16cid:durableId="247735459">
    <w:abstractNumId w:val="6"/>
  </w:num>
  <w:num w:numId="11" w16cid:durableId="24596160">
    <w:abstractNumId w:val="9"/>
  </w:num>
  <w:num w:numId="12" w16cid:durableId="245849255">
    <w:abstractNumId w:val="13"/>
  </w:num>
  <w:num w:numId="13" w16cid:durableId="1286962300">
    <w:abstractNumId w:val="12"/>
  </w:num>
  <w:num w:numId="14" w16cid:durableId="1731804652">
    <w:abstractNumId w:val="2"/>
  </w:num>
  <w:num w:numId="15" w16cid:durableId="27814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124F14"/>
    <w:rsid w:val="00181002"/>
    <w:rsid w:val="001946C7"/>
    <w:rsid w:val="001C157E"/>
    <w:rsid w:val="00240777"/>
    <w:rsid w:val="002415BB"/>
    <w:rsid w:val="002E2C01"/>
    <w:rsid w:val="00331949"/>
    <w:rsid w:val="003A309C"/>
    <w:rsid w:val="00445515"/>
    <w:rsid w:val="0049730F"/>
    <w:rsid w:val="00511BC8"/>
    <w:rsid w:val="00593730"/>
    <w:rsid w:val="005B5D9E"/>
    <w:rsid w:val="005D4709"/>
    <w:rsid w:val="00631697"/>
    <w:rsid w:val="00636CED"/>
    <w:rsid w:val="00663A00"/>
    <w:rsid w:val="006D65EC"/>
    <w:rsid w:val="00787B5C"/>
    <w:rsid w:val="0081735F"/>
    <w:rsid w:val="008437DB"/>
    <w:rsid w:val="00881A84"/>
    <w:rsid w:val="008D151C"/>
    <w:rsid w:val="008E774A"/>
    <w:rsid w:val="009A7AD8"/>
    <w:rsid w:val="009F6311"/>
    <w:rsid w:val="00A105F1"/>
    <w:rsid w:val="00A57EB6"/>
    <w:rsid w:val="00A74D6A"/>
    <w:rsid w:val="00A9627C"/>
    <w:rsid w:val="00AD11B4"/>
    <w:rsid w:val="00B26B22"/>
    <w:rsid w:val="00B3403E"/>
    <w:rsid w:val="00B34BDF"/>
    <w:rsid w:val="00BA0F23"/>
    <w:rsid w:val="00BC0DDC"/>
    <w:rsid w:val="00C37054"/>
    <w:rsid w:val="00C77469"/>
    <w:rsid w:val="00C93E15"/>
    <w:rsid w:val="00CB60C0"/>
    <w:rsid w:val="00D40426"/>
    <w:rsid w:val="00D73B4C"/>
    <w:rsid w:val="00D97BC2"/>
    <w:rsid w:val="00E92334"/>
    <w:rsid w:val="00EF0C9D"/>
    <w:rsid w:val="00F01E91"/>
    <w:rsid w:val="00F10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9602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tario.ca/laws/statute/91o3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to.org/docs/default-source/registration-policies/8-72-determining-suitability-to-practise-at-registration.pdf?sfvrsn=2" TargetMode="External"/><Relationship Id="rId4" Type="http://schemas.openxmlformats.org/officeDocument/2006/relationships/webSettings" Target="webSettings.xml"/><Relationship Id="rId9" Type="http://schemas.openxmlformats.org/officeDocument/2006/relationships/hyperlink" Target="https://www.ontario.ca/laws/regulation/07009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2023-02-09T17:37:00Z</cp:lastPrinted>
  <dcterms:created xsi:type="dcterms:W3CDTF">2023-02-10T19:26:00Z</dcterms:created>
  <dcterms:modified xsi:type="dcterms:W3CDTF">2023-02-10T19:26:00Z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